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0B6EB3" w:rsidR="00666460" w:rsidRDefault="00A1757A">
      <w:pPr>
        <w:pStyle w:val="Titolo2"/>
        <w:rPr>
          <w:sz w:val="20"/>
          <w:szCs w:val="20"/>
        </w:rPr>
      </w:pPr>
      <w:r>
        <w:rPr>
          <w:sz w:val="20"/>
          <w:szCs w:val="20"/>
        </w:rPr>
        <w:t>MODELLO PROGRAMMAZIONE DIDATTICO-EDUCATIVA GENERALE</w:t>
      </w:r>
      <w:r w:rsidR="001672D1">
        <w:rPr>
          <w:sz w:val="20"/>
          <w:szCs w:val="20"/>
        </w:rPr>
        <w:t xml:space="preserve"> PER LA SCUOLA D’INFANZIA</w:t>
      </w:r>
    </w:p>
    <w:p w14:paraId="00000002" w14:textId="77777777" w:rsidR="00666460" w:rsidRDefault="0066646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0000003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19B53782" wp14:editId="581F3697">
            <wp:extent cx="523875" cy="571500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ISTITUTO COMPRENSIVO AUTONOMIA 82</w:t>
      </w:r>
    </w:p>
    <w:p w14:paraId="00000005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SCUOLA D’INFANZIA, PRIMARIA E SECONDARIA DI PRIMO GRADO</w:t>
      </w:r>
    </w:p>
    <w:p w14:paraId="00000006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BARONISSI (SA)</w:t>
      </w:r>
    </w:p>
    <w:p w14:paraId="00000007" w14:textId="77777777" w:rsidR="00666460" w:rsidRDefault="00666460">
      <w:pPr>
        <w:tabs>
          <w:tab w:val="left" w:pos="768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00000008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TEL./FAX. 0892962106                                                                CF.80027970658</w:t>
      </w:r>
    </w:p>
    <w:p w14:paraId="00000009" w14:textId="77777777" w:rsidR="00666460" w:rsidRDefault="006664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0000000A" w14:textId="79797700" w:rsidR="00666460" w:rsidRDefault="00A1757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PROGRAMMAZIONE ANNUALE DIDATTICO-EDUCATIVA GENERALE PER LA SCUOLA</w:t>
      </w:r>
      <w:r w:rsidR="00FF4CA5">
        <w:rPr>
          <w:rFonts w:ascii="Times New Roman" w:eastAsia="Times New Roman" w:hAnsi="Times New Roman"/>
          <w:sz w:val="20"/>
          <w:szCs w:val="20"/>
          <w:u w:val="singl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u w:val="single"/>
        </w:rPr>
        <w:t>D’INFANZIA</w:t>
      </w:r>
    </w:p>
    <w:p w14:paraId="0000000B" w14:textId="77777777" w:rsidR="00666460" w:rsidRDefault="0066646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</w:p>
    <w:p w14:paraId="0000000C" w14:textId="77777777" w:rsidR="00666460" w:rsidRDefault="0066646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</w:p>
    <w:p w14:paraId="0000000D" w14:textId="77777777" w:rsidR="00666460" w:rsidRDefault="00A175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000000E" w14:textId="77777777" w:rsidR="00666460" w:rsidRDefault="0066646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0F" w14:textId="56FB93C8" w:rsidR="00666460" w:rsidRDefault="00A1757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SEZIONE______________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00000010" w14:textId="7E52284C" w:rsidR="00666460" w:rsidRDefault="0094274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Plesso di </w:t>
      </w:r>
    </w:p>
    <w:p w14:paraId="00000011" w14:textId="00757BBF" w:rsidR="00666460" w:rsidRDefault="0094274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eastAsia="Noto Sans Symbols" w:hAnsi="Arial" w:cs="Arial"/>
          <w:color w:val="000000"/>
          <w:sz w:val="20"/>
          <w:szCs w:val="20"/>
        </w:rPr>
        <w:t xml:space="preserve">󠄎 </w:t>
      </w:r>
      <w:r>
        <w:rPr>
          <w:rFonts w:ascii="Times New Roman" w:eastAsia="Times New Roman" w:hAnsi="Times New Roman"/>
          <w:sz w:val="20"/>
          <w:szCs w:val="20"/>
        </w:rPr>
        <w:t>Caprecano</w:t>
      </w:r>
    </w:p>
    <w:p w14:paraId="00000012" w14:textId="20D8EDDF" w:rsidR="00666460" w:rsidRDefault="0094274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eastAsia="Noto Sans Symbols" w:hAnsi="Arial" w:cs="Arial"/>
          <w:color w:val="000000"/>
          <w:sz w:val="20"/>
          <w:szCs w:val="20"/>
        </w:rPr>
        <w:t>󠄎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 Orignano</w:t>
      </w:r>
    </w:p>
    <w:p w14:paraId="00000013" w14:textId="0309B172" w:rsidR="00666460" w:rsidRDefault="00A1757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ANNO SCOLASTICO  </w:t>
      </w:r>
      <w:r w:rsidR="009B71A3">
        <w:rPr>
          <w:rFonts w:ascii="Times New Roman" w:eastAsia="Times New Roman" w:hAnsi="Times New Roman"/>
          <w:b/>
          <w:sz w:val="20"/>
          <w:szCs w:val="20"/>
        </w:rPr>
        <w:t>2025/26</w:t>
      </w:r>
    </w:p>
    <w:p w14:paraId="00000014" w14:textId="77777777" w:rsidR="00666460" w:rsidRDefault="0066646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5" w14:textId="5E048D6E" w:rsidR="00666460" w:rsidRDefault="00A1757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 CURA DEL DOCENTE </w:t>
      </w:r>
      <w:r w:rsidR="009E2013">
        <w:rPr>
          <w:rFonts w:ascii="Times New Roman" w:eastAsia="Times New Roman" w:hAnsi="Times New Roman"/>
          <w:sz w:val="20"/>
          <w:szCs w:val="20"/>
        </w:rPr>
        <w:t>REFERENTE____________________________</w:t>
      </w:r>
    </w:p>
    <w:p w14:paraId="00000016" w14:textId="77777777" w:rsidR="00666460" w:rsidRDefault="0066646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7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18" w14:textId="6F01D556" w:rsidR="00666460" w:rsidRDefault="00A1757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Composizio</w:t>
      </w:r>
      <w:r w:rsidR="00E43A6B">
        <w:rPr>
          <w:rFonts w:ascii="Times New Roman" w:eastAsia="Times New Roman" w:hAnsi="Times New Roman"/>
          <w:sz w:val="20"/>
          <w:szCs w:val="20"/>
        </w:rPr>
        <w:t>ne</w:t>
      </w:r>
      <w:r w:rsidR="009B71A3">
        <w:rPr>
          <w:rFonts w:ascii="Times New Roman" w:eastAsia="Times New Roman" w:hAnsi="Times New Roman"/>
          <w:sz w:val="20"/>
          <w:szCs w:val="20"/>
        </w:rPr>
        <w:t xml:space="preserve"> del Consiglio di sezione</w:t>
      </w:r>
    </w:p>
    <w:p w14:paraId="00000019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4"/>
        <w:tblW w:w="5000" w:type="pct"/>
        <w:tblInd w:w="0" w:type="dxa"/>
        <w:tblBorders>
          <w:left w:val="nil"/>
          <w:right w:val="nil"/>
        </w:tblBorders>
        <w:tblLook w:val="0000" w:firstRow="0" w:lastRow="0" w:firstColumn="0" w:lastColumn="0" w:noHBand="0" w:noVBand="0"/>
      </w:tblPr>
      <w:tblGrid>
        <w:gridCol w:w="9618"/>
      </w:tblGrid>
      <w:tr w:rsidR="00666460" w14:paraId="034EDCF2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A" w14:textId="77777777" w:rsidR="00666460" w:rsidRDefault="00A17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DOCENTI</w:t>
            </w:r>
          </w:p>
        </w:tc>
      </w:tr>
      <w:tr w:rsidR="00666460" w14:paraId="037EF108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B" w14:textId="77777777" w:rsidR="00666460" w:rsidRDefault="0066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666460" w14:paraId="37F16D77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C" w14:textId="77777777" w:rsidR="00666460" w:rsidRDefault="0066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666460" w14:paraId="4401497C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D" w14:textId="77777777" w:rsidR="00666460" w:rsidRDefault="0066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666460" w14:paraId="006CEDBF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E" w14:textId="77777777" w:rsidR="00666460" w:rsidRDefault="0066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666460" w14:paraId="6DE967BD" w14:textId="77777777" w:rsidTr="00942741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F" w14:textId="77777777" w:rsidR="00666460" w:rsidRDefault="0066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00000020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21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22" w14:textId="69CD0211" w:rsidR="00666460" w:rsidRDefault="00A1757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606310">
        <w:rPr>
          <w:rFonts w:ascii="Times New Roman" w:eastAsia="Times New Roman" w:hAnsi="Times New Roman"/>
          <w:sz w:val="20"/>
          <w:szCs w:val="20"/>
        </w:rPr>
        <w:t>sezione</w:t>
      </w:r>
      <w:r>
        <w:rPr>
          <w:rFonts w:ascii="Times New Roman" w:eastAsia="Times New Roman" w:hAnsi="Times New Roman"/>
          <w:sz w:val="20"/>
          <w:szCs w:val="20"/>
        </w:rPr>
        <w:t xml:space="preserve"> sulla base delle finalità generali condivise all'interno della scuola e degli obiettivi educativi e specifici, procede alla stesura della Programmazione Educa</w:t>
      </w:r>
      <w:r w:rsidR="00F6467B">
        <w:rPr>
          <w:rFonts w:ascii="Times New Roman" w:eastAsia="Times New Roman" w:hAnsi="Times New Roman"/>
          <w:sz w:val="20"/>
          <w:szCs w:val="20"/>
        </w:rPr>
        <w:t xml:space="preserve">tivo Didattica per l'a. sc. </w:t>
      </w:r>
      <w:r w:rsidR="004F3AE9">
        <w:rPr>
          <w:rFonts w:ascii="Times New Roman" w:eastAsia="Times New Roman" w:hAnsi="Times New Roman"/>
          <w:sz w:val="20"/>
          <w:szCs w:val="20"/>
        </w:rPr>
        <w:t>2025/26.</w:t>
      </w:r>
    </w:p>
    <w:p w14:paraId="00000023" w14:textId="77777777" w:rsidR="00666460" w:rsidRDefault="0066646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0000024" w14:textId="5B72F2D6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</w:t>
      </w:r>
      <w:r w:rsidR="000842C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ESENTAZIONE DELLA SEZIONE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E CONTESTO</w:t>
      </w:r>
    </w:p>
    <w:p w14:paraId="00000025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66460" w14:paraId="2E3DB613" w14:textId="77777777">
        <w:trPr>
          <w:trHeight w:val="478"/>
        </w:trPr>
        <w:tc>
          <w:tcPr>
            <w:tcW w:w="4889" w:type="dxa"/>
          </w:tcPr>
          <w:p w14:paraId="00000026" w14:textId="6A64E86C" w:rsidR="00666460" w:rsidRDefault="00F42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Arial" w:eastAsia="Noto Sans Symbols" w:hAnsi="Arial" w:cs="Arial"/>
                <w:color w:val="000000"/>
              </w:rPr>
              <w:t xml:space="preserve">󠄎 </w:t>
            </w:r>
            <w:r w:rsidR="00B251B1">
              <w:rPr>
                <w:rFonts w:ascii="Times New Roman" w:eastAsia="Times New Roman" w:hAnsi="Times New Roman"/>
                <w:color w:val="000000"/>
              </w:rPr>
              <w:t>Sezione</w:t>
            </w:r>
            <w:r w:rsidR="00A1757A">
              <w:rPr>
                <w:rFonts w:ascii="Times New Roman" w:eastAsia="Times New Roman" w:hAnsi="Times New Roman"/>
                <w:color w:val="000000"/>
              </w:rPr>
              <w:t xml:space="preserve"> a tempo normale</w:t>
            </w:r>
          </w:p>
          <w:p w14:paraId="00000027" w14:textId="69A9DB91" w:rsidR="00666460" w:rsidRDefault="00F42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Arial" w:eastAsia="Noto Sans Symbols" w:hAnsi="Arial" w:cs="Arial"/>
                <w:color w:val="000000"/>
              </w:rPr>
              <w:t xml:space="preserve">󠄎 </w:t>
            </w:r>
            <w:r w:rsidR="00B251B1">
              <w:rPr>
                <w:rFonts w:ascii="Times New Roman" w:eastAsia="Times New Roman" w:hAnsi="Times New Roman"/>
                <w:color w:val="000000"/>
              </w:rPr>
              <w:t>Sezione</w:t>
            </w:r>
            <w:r w:rsidR="00A1757A">
              <w:rPr>
                <w:rFonts w:ascii="Times New Roman" w:eastAsia="Times New Roman" w:hAnsi="Times New Roman"/>
                <w:color w:val="000000"/>
              </w:rPr>
              <w:t xml:space="preserve"> a tempo prolungato</w:t>
            </w:r>
          </w:p>
          <w:p w14:paraId="00000028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889" w:type="dxa"/>
          </w:tcPr>
          <w:p w14:paraId="00000029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Numero alunni ----</w:t>
            </w:r>
          </w:p>
          <w:p w14:paraId="0000002A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di cui  --------maschi e  --------femmine</w:t>
            </w:r>
          </w:p>
        </w:tc>
      </w:tr>
      <w:tr w:rsidR="00666460" w14:paraId="107EB206" w14:textId="77777777">
        <w:trPr>
          <w:trHeight w:val="478"/>
        </w:trPr>
        <w:tc>
          <w:tcPr>
            <w:tcW w:w="9778" w:type="dxa"/>
            <w:gridSpan w:val="2"/>
          </w:tcPr>
          <w:p w14:paraId="0000002B" w14:textId="01C58600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Alunni provenienti da </w:t>
            </w:r>
            <w:r w:rsidR="005B51D9">
              <w:rPr>
                <w:rFonts w:ascii="Times New Roman" w:eastAsia="Times New Roman" w:hAnsi="Times New Roman"/>
                <w:color w:val="000000"/>
              </w:rPr>
              <w:t>altre scuole</w:t>
            </w:r>
            <w:r>
              <w:rPr>
                <w:rFonts w:ascii="Times New Roman" w:eastAsia="Times New Roman" w:hAnsi="Times New Roman"/>
                <w:color w:val="000000"/>
              </w:rPr>
              <w:t>: N°------</w:t>
            </w:r>
          </w:p>
        </w:tc>
      </w:tr>
      <w:tr w:rsidR="00666460" w14:paraId="67804FB7" w14:textId="77777777">
        <w:trPr>
          <w:trHeight w:val="478"/>
        </w:trPr>
        <w:tc>
          <w:tcPr>
            <w:tcW w:w="9778" w:type="dxa"/>
            <w:gridSpan w:val="2"/>
          </w:tcPr>
          <w:p w14:paraId="0000002D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Alunni di cittadinanza non italiana: N°-----</w:t>
            </w:r>
          </w:p>
        </w:tc>
      </w:tr>
      <w:tr w:rsidR="00666460" w14:paraId="407F20E2" w14:textId="77777777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14:paraId="0000002F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Ambiente socio-culturale di provenienza:  </w:t>
            </w:r>
          </w:p>
          <w:p w14:paraId="00000030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basso   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medio-basso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medio-alto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alto</w:t>
            </w:r>
          </w:p>
        </w:tc>
      </w:tr>
      <w:tr w:rsidR="00666460" w14:paraId="681D4C2D" w14:textId="77777777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14:paraId="00000032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Grado attualmente accertato di partecipazione e collaborazione delle famiglie:</w:t>
            </w:r>
          </w:p>
          <w:p w14:paraId="00000033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ottimo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generalmente buono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carente </w:t>
            </w:r>
          </w:p>
          <w:p w14:paraId="00000034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47003E87" w14:textId="77777777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14:paraId="00000036" w14:textId="1C9FF683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Il livello di socializzazione, riguardante il comportamento, il rispetto delle regole e il clima collaborativo all’interno della </w:t>
            </w:r>
            <w:r w:rsidR="00B251B1">
              <w:rPr>
                <w:rFonts w:ascii="Times New Roman" w:eastAsia="Times New Roman" w:hAnsi="Times New Roman"/>
                <w:color w:val="000000"/>
              </w:rPr>
              <w:t>sezione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risulta: </w:t>
            </w:r>
          </w:p>
          <w:p w14:paraId="00000037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eccellente             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soddisfacente        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ancora difficoltoso                    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difficoltoso</w:t>
            </w:r>
          </w:p>
          <w:p w14:paraId="00000038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6F6B9543" w14:textId="77777777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14:paraId="0000003A" w14:textId="77777777" w:rsidR="00666460" w:rsidRPr="004D4A0F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D4A0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Riguardo alla sfera metacognitiva, i ragazzi posseggono buone capacità logiche </w:t>
            </w:r>
          </w:p>
          <w:p w14:paraId="0000003B" w14:textId="1975AD55" w:rsidR="00666460" w:rsidRPr="004D4A0F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 tutti           </w:t>
            </w: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 quasi tutti        </w:t>
            </w: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 solo qualcuno</w:t>
            </w:r>
            <w:r w:rsidRPr="004D4A0F">
              <w:rPr>
                <w:rFonts w:ascii="Times New Roman" w:eastAsia="Times New Roman" w:hAnsi="Times New Roman"/>
                <w:color w:val="00FF00"/>
              </w:rPr>
              <w:t xml:space="preserve"> </w:t>
            </w:r>
          </w:p>
          <w:p w14:paraId="0000003C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highlight w:val="yellow"/>
              </w:rPr>
            </w:pPr>
          </w:p>
        </w:tc>
      </w:tr>
      <w:tr w:rsidR="00666460" w14:paraId="0D4A0B7A" w14:textId="77777777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14:paraId="0000003E" w14:textId="77777777" w:rsidR="00666460" w:rsidRPr="004D4A0F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D4A0F">
              <w:rPr>
                <w:rFonts w:ascii="Times New Roman" w:eastAsia="Times New Roman" w:hAnsi="Times New Roman"/>
                <w:color w:val="000000"/>
              </w:rPr>
              <w:t>Riguardo alla sfera cognitiva, la preparazione di base è completa (va bene)</w:t>
            </w:r>
          </w:p>
          <w:p w14:paraId="0000003F" w14:textId="23B894EE" w:rsidR="00666460" w:rsidRPr="004D4A0F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 per tutti gli alunni       </w:t>
            </w: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>•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 per quasi tutti gli alunni         </w:t>
            </w:r>
            <w:r w:rsidRPr="004D4A0F"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r w:rsidRPr="004D4A0F">
              <w:rPr>
                <w:rFonts w:ascii="Times New Roman" w:eastAsia="Times New Roman" w:hAnsi="Times New Roman"/>
                <w:color w:val="000000"/>
              </w:rPr>
              <w:t xml:space="preserve">solo per una </w:t>
            </w:r>
            <w:r w:rsidR="00F27ACD">
              <w:rPr>
                <w:rFonts w:ascii="Times New Roman" w:eastAsia="Times New Roman" w:hAnsi="Times New Roman"/>
                <w:color w:val="000000"/>
              </w:rPr>
              <w:t>parte degli alunni</w:t>
            </w:r>
          </w:p>
          <w:p w14:paraId="00000040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highlight w:val="yellow"/>
              </w:rPr>
            </w:pPr>
          </w:p>
        </w:tc>
      </w:tr>
    </w:tbl>
    <w:p w14:paraId="00000042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sdt>
      <w:sdtPr>
        <w:tag w:val="goog_rdk_3"/>
        <w:id w:val="2122877965"/>
      </w:sdtPr>
      <w:sdtEndPr/>
      <w:sdtContent>
        <w:p w14:paraId="00000043" w14:textId="17072612" w:rsidR="00666460" w:rsidRPr="004D4A0F" w:rsidRDefault="00A1757A">
          <w:pPr>
            <w:ind w:right="284"/>
            <w:jc w:val="both"/>
            <w:rPr>
              <w:rFonts w:ascii="Times New Roman" w:eastAsia="Times New Roman" w:hAnsi="Times New Roman"/>
              <w:i/>
              <w:sz w:val="20"/>
              <w:szCs w:val="20"/>
            </w:rPr>
          </w:pPr>
          <w:r w:rsidRPr="004D4A0F">
            <w:rPr>
              <w:rFonts w:ascii="Times New Roman" w:eastAsia="Times New Roman" w:hAnsi="Times New Roman"/>
              <w:b/>
              <w:sz w:val="20"/>
              <w:szCs w:val="20"/>
            </w:rPr>
            <w:t>Descrizione dettagliata della situazione di partenza della sezione</w:t>
          </w:r>
          <w:r w:rsidRPr="004D4A0F">
            <w:rPr>
              <w:rFonts w:ascii="Times New Roman" w:eastAsia="Times New Roman" w:hAnsi="Times New Roman"/>
              <w:sz w:val="20"/>
              <w:szCs w:val="20"/>
            </w:rPr>
            <w:t xml:space="preserve"> (</w:t>
          </w:r>
          <w:r w:rsidRPr="004D4A0F">
            <w:rPr>
              <w:rFonts w:ascii="Times New Roman" w:eastAsia="Times New Roman" w:hAnsi="Times New Roman"/>
              <w:i/>
              <w:sz w:val="20"/>
              <w:szCs w:val="20"/>
            </w:rPr>
            <w:t>didattica e comportamentale,</w:t>
          </w:r>
          <w:r w:rsidRPr="004D4A0F">
            <w:rPr>
              <w:i/>
              <w:color w:val="000000"/>
              <w:sz w:val="20"/>
              <w:szCs w:val="20"/>
            </w:rPr>
            <w:t xml:space="preserve"> e</w:t>
          </w:r>
          <w:r w:rsidR="00CE6B87">
            <w:rPr>
              <w:rFonts w:ascii="Times New Roman" w:eastAsia="Times New Roman" w:hAnsi="Times New Roman"/>
              <w:i/>
              <w:sz w:val="20"/>
              <w:szCs w:val="20"/>
            </w:rPr>
            <w:t>siti delle osservazioni iniziali</w:t>
          </w:r>
          <w:r w:rsidRPr="004D4A0F">
            <w:rPr>
              <w:rFonts w:ascii="Times New Roman" w:eastAsia="Times New Roman" w:hAnsi="Times New Roman"/>
              <w:i/>
              <w:sz w:val="20"/>
              <w:szCs w:val="20"/>
            </w:rPr>
            <w:t>, interessi, motivazioni, bisogni, nuovi inserimenti, ecc.)</w:t>
          </w:r>
        </w:p>
      </w:sdtContent>
    </w:sdt>
    <w:p w14:paraId="00000044" w14:textId="77777777" w:rsidR="00666460" w:rsidRDefault="00A1757A">
      <w:pPr>
        <w:ind w:right="284"/>
        <w:jc w:val="both"/>
        <w:rPr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45" w14:textId="77777777" w:rsidR="00666460" w:rsidRDefault="006664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46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47" w14:textId="77777777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RILEVAZIONE ALUNNI CON BISOGNI EDUCATIVI SPECIALI (BES)</w:t>
      </w:r>
    </w:p>
    <w:p w14:paraId="00000048" w14:textId="6137871A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sz w:val="20"/>
          <w:szCs w:val="20"/>
        </w:rPr>
        <w:t>Sezione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procede collegialmente alla individuazione degli alunni BES, come si rileva nella tabella seguente:</w:t>
      </w:r>
    </w:p>
    <w:tbl>
      <w:tblPr>
        <w:tblStyle w:val="a6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2509"/>
        <w:gridCol w:w="2509"/>
      </w:tblGrid>
      <w:tr w:rsidR="00666460" w14:paraId="1019C146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49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4A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NOMI ALUNNI</w:t>
            </w:r>
          </w:p>
        </w:tc>
        <w:tc>
          <w:tcPr>
            <w:tcW w:w="2509" w:type="dxa"/>
            <w:shd w:val="clear" w:color="auto" w:fill="auto"/>
          </w:tcPr>
          <w:p w14:paraId="0000004B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CERTIFICAZIONE SANITARIA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(indicare SI/NO)</w:t>
            </w:r>
          </w:p>
        </w:tc>
      </w:tr>
      <w:tr w:rsidR="00666460" w14:paraId="47184909" w14:textId="77777777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000004C" w14:textId="77777777" w:rsidR="00666460" w:rsidRDefault="00A175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DISABILITÀ CERTIFICATE (LEGGE 104/92)</w:t>
            </w:r>
          </w:p>
        </w:tc>
      </w:tr>
      <w:tr w:rsidR="00666460" w14:paraId="09B6B75D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4F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minorati vista</w:t>
            </w:r>
          </w:p>
        </w:tc>
        <w:tc>
          <w:tcPr>
            <w:tcW w:w="2509" w:type="dxa"/>
            <w:shd w:val="clear" w:color="auto" w:fill="auto"/>
          </w:tcPr>
          <w:p w14:paraId="00000050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51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41A51D23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52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minorati udito</w:t>
            </w:r>
          </w:p>
        </w:tc>
        <w:tc>
          <w:tcPr>
            <w:tcW w:w="2509" w:type="dxa"/>
            <w:shd w:val="clear" w:color="auto" w:fill="auto"/>
          </w:tcPr>
          <w:p w14:paraId="00000053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54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765BA3F3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55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psicofisici</w:t>
            </w:r>
          </w:p>
        </w:tc>
        <w:tc>
          <w:tcPr>
            <w:tcW w:w="2509" w:type="dxa"/>
            <w:shd w:val="clear" w:color="auto" w:fill="auto"/>
          </w:tcPr>
          <w:p w14:paraId="00000056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57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34AD921F" w14:textId="77777777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0000058" w14:textId="77777777" w:rsidR="00666460" w:rsidRDefault="00A175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DISTURBI EVOLUTI SPECIFICI (Legge 170/2010, Direttiva MIUR del 27 Dicembre 2012,C.M. del 6 Marzo 2013)</w:t>
            </w:r>
          </w:p>
        </w:tc>
      </w:tr>
      <w:tr w:rsidR="00666460" w14:paraId="01CB7805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5B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DSA</w:t>
            </w:r>
          </w:p>
        </w:tc>
        <w:tc>
          <w:tcPr>
            <w:tcW w:w="2509" w:type="dxa"/>
            <w:shd w:val="clear" w:color="auto" w:fill="auto"/>
          </w:tcPr>
          <w:p w14:paraId="0000005C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5D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666460" w14:paraId="75C8199A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5E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disturbi del linguaggio</w:t>
            </w:r>
          </w:p>
        </w:tc>
        <w:tc>
          <w:tcPr>
            <w:tcW w:w="2509" w:type="dxa"/>
            <w:shd w:val="clear" w:color="auto" w:fill="auto"/>
          </w:tcPr>
          <w:p w14:paraId="0000005F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60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188B1539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61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disturbi delle abilità non verbali</w:t>
            </w:r>
          </w:p>
        </w:tc>
        <w:tc>
          <w:tcPr>
            <w:tcW w:w="2509" w:type="dxa"/>
            <w:shd w:val="clear" w:color="auto" w:fill="auto"/>
          </w:tcPr>
          <w:p w14:paraId="00000062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63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2AB9E1E2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64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ADHD/DOP(disturbo da deficit dell’attenzione e iperattività; disturbo oppositivo-provocatorio)</w:t>
            </w:r>
          </w:p>
        </w:tc>
        <w:tc>
          <w:tcPr>
            <w:tcW w:w="2509" w:type="dxa"/>
            <w:shd w:val="clear" w:color="auto" w:fill="auto"/>
          </w:tcPr>
          <w:p w14:paraId="00000065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66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381B5B17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67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altro</w:t>
            </w:r>
          </w:p>
        </w:tc>
        <w:tc>
          <w:tcPr>
            <w:tcW w:w="2509" w:type="dxa"/>
            <w:shd w:val="clear" w:color="auto" w:fill="auto"/>
          </w:tcPr>
          <w:p w14:paraId="00000068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69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0C825FD8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6A" w14:textId="77777777" w:rsidR="00666460" w:rsidRDefault="00A175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BORDELINE COGNITIVO</w:t>
            </w:r>
          </w:p>
        </w:tc>
        <w:tc>
          <w:tcPr>
            <w:tcW w:w="2509" w:type="dxa"/>
            <w:shd w:val="clear" w:color="auto" w:fill="auto"/>
          </w:tcPr>
          <w:p w14:paraId="0000006B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6C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00A396D2" w14:textId="77777777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000006D" w14:textId="77777777" w:rsidR="00666460" w:rsidRDefault="00A175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SVANTAGGIO </w:t>
            </w:r>
          </w:p>
        </w:tc>
      </w:tr>
      <w:tr w:rsidR="00666460" w14:paraId="1EDDB65B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70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Socio-economico</w:t>
            </w:r>
          </w:p>
        </w:tc>
        <w:tc>
          <w:tcPr>
            <w:tcW w:w="2509" w:type="dxa"/>
            <w:shd w:val="clear" w:color="auto" w:fill="auto"/>
          </w:tcPr>
          <w:p w14:paraId="00000071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72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3AA98026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73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Linguistico</w:t>
            </w:r>
          </w:p>
        </w:tc>
        <w:tc>
          <w:tcPr>
            <w:tcW w:w="2509" w:type="dxa"/>
            <w:shd w:val="clear" w:color="auto" w:fill="auto"/>
          </w:tcPr>
          <w:p w14:paraId="00000074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75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13A614E6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76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Culturale</w:t>
            </w:r>
          </w:p>
        </w:tc>
        <w:tc>
          <w:tcPr>
            <w:tcW w:w="2509" w:type="dxa"/>
            <w:shd w:val="clear" w:color="auto" w:fill="auto"/>
          </w:tcPr>
          <w:p w14:paraId="00000077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78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657C8AAD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79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Disagio comportamentale/relazionale</w:t>
            </w:r>
          </w:p>
        </w:tc>
        <w:tc>
          <w:tcPr>
            <w:tcW w:w="2509" w:type="dxa"/>
            <w:shd w:val="clear" w:color="auto" w:fill="auto"/>
          </w:tcPr>
          <w:p w14:paraId="0000007A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7B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6460" w14:paraId="75E107DB" w14:textId="77777777">
        <w:trPr>
          <w:jc w:val="center"/>
        </w:trPr>
        <w:tc>
          <w:tcPr>
            <w:tcW w:w="4836" w:type="dxa"/>
            <w:shd w:val="clear" w:color="auto" w:fill="auto"/>
          </w:tcPr>
          <w:p w14:paraId="0000007C" w14:textId="77777777" w:rsidR="00666460" w:rsidRDefault="00A1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▪ altro (specificare)</w:t>
            </w:r>
          </w:p>
        </w:tc>
        <w:tc>
          <w:tcPr>
            <w:tcW w:w="2509" w:type="dxa"/>
            <w:shd w:val="clear" w:color="auto" w:fill="auto"/>
          </w:tcPr>
          <w:p w14:paraId="0000007D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09" w:type="dxa"/>
            <w:shd w:val="clear" w:color="auto" w:fill="auto"/>
          </w:tcPr>
          <w:p w14:paraId="0000007E" w14:textId="77777777" w:rsidR="00666460" w:rsidRDefault="0066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000007F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80" w14:textId="77777777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STRATEGIE DI INTERVENTO PER GLI ALUNNI CON BISOGNI EDUCATIVI SPECIALI (BES)</w:t>
      </w:r>
    </w:p>
    <w:p w14:paraId="00000081" w14:textId="7A691191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sz w:val="20"/>
          <w:szCs w:val="20"/>
        </w:rPr>
        <w:t>Sezione</w:t>
      </w:r>
      <w:r w:rsidR="008027DC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concorda le seguenti strategie di intervento nei confronti degli alunni BES:</w:t>
      </w:r>
    </w:p>
    <w:p w14:paraId="00000082" w14:textId="39483BC8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▪ ALUNNI PER I QUALI </w:t>
      </w:r>
      <w:r w:rsidR="005D66A5">
        <w:rPr>
          <w:rFonts w:ascii="Times New Roman" w:eastAsia="Times New Roman" w:hAnsi="Times New Roman"/>
          <w:b/>
          <w:color w:val="000000"/>
          <w:sz w:val="20"/>
          <w:szCs w:val="20"/>
        </w:rPr>
        <w:t>È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STATA RILASCIATA CERTIFICAZIONE CLINICA O DIAGNOSI</w:t>
      </w:r>
    </w:p>
    <w:p w14:paraId="00000083" w14:textId="77777777" w:rsidR="00666460" w:rsidRDefault="00A175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Alunni con disabilità certificata (Legge 104/1992)</w:t>
      </w:r>
    </w:p>
    <w:p w14:paraId="00000084" w14:textId="2BDCE302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sulla base delle particolari esigenze dell’alunno disabile ………………………. ed in accordo con l’insegnante di sostegno, hanno predisposto un piano di lavoro specifico (PEI) che favorisca l’integrazione e la socializzazione dell’alunno all’interno del gruppo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 gli faccia raggiungere gli obiettivi previsti.</w:t>
      </w:r>
    </w:p>
    <w:p w14:paraId="00000085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Consiglio, nella seduta di novembre, ha deliberato l’adozione del PEI, che, firmato dai genitori, dai docenti e dal Dirigente Scolastico, verrà consegnato alla famiglia; una copia verrà inserita nel fascicolo personale dell’alunno e una copia verrà allegata al registro dei verbali.</w:t>
      </w:r>
    </w:p>
    <w:p w14:paraId="00000086" w14:textId="77777777" w:rsidR="00666460" w:rsidRDefault="00A175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Alunni con certificazione di BES (Legge 170/2010)</w:t>
      </w:r>
    </w:p>
    <w:p w14:paraId="00000087" w14:textId="3F1D68B1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hanno analizzato con particolare attenzione la situazione dell’alunno/degli alunni………………………………………… per il quale/i quali è stata rilasciata certificazione e hanno redatto, secondo la normativa sopra richiamata, uno specifico Piano Didattico Personalizzato (PDP) ed applicheranno le misure compensative e/o dispensative più opportune.</w:t>
      </w:r>
    </w:p>
    <w:p w14:paraId="00000088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Il Consiglio, nella seduta di novembre, ha deliberato l’adozione del/dei Piano/i Didattico/i Personalizzato/i., che, firmato/i dai genitori, dai docenti del Consiglio e dal Dirigente Scolastico, verrà/verranno consegnato/i alla famiglia; una copia verrà inserita nel fascicolo personale dell’alunno e una copia verrà allegata al registro dei verbali.</w:t>
      </w:r>
    </w:p>
    <w:p w14:paraId="00000089" w14:textId="24CF5174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▪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ALUNNI PER I QUALI NON </w:t>
      </w:r>
      <w:r w:rsidR="005D66A5">
        <w:rPr>
          <w:rFonts w:ascii="Times New Roman" w:eastAsia="Times New Roman" w:hAnsi="Times New Roman"/>
          <w:b/>
          <w:color w:val="000000"/>
          <w:sz w:val="20"/>
          <w:szCs w:val="20"/>
        </w:rPr>
        <w:t>È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STATA RILASCIATA CERTIFICAZIONE CLINICA O DIAGNOSI</w:t>
      </w:r>
    </w:p>
    <w:p w14:paraId="0000008A" w14:textId="01D58E64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Sulla base di quanto previsto dalla C.M. 8 del 6 marzo 2013 nella quale si legge: “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È necessario che l’attivazione di un percorso individualizzato e personalizzato per un alunno con Bisogni Educativi Speciali deliberata in Consiglio di </w:t>
      </w:r>
      <w:r w:rsidR="00B251B1">
        <w:rPr>
          <w:rFonts w:ascii="Times New Roman" w:eastAsia="Times New Roman" w:hAnsi="Times New Roman"/>
          <w:i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- ovvero, nelle scuole primarie, da tutti i componenti del team docenti -dando luogo al PDP, firmato dal Dirigente scolastico (o da un docente da questi specificamente delegato), dai docenti e dalla famiglia. Ove non sia presente certificazione clinica o diagnosi, il Consiglio di </w:t>
      </w:r>
      <w:r w:rsidR="00B251B1">
        <w:rPr>
          <w:rFonts w:ascii="Times New Roman" w:eastAsia="Times New Roman" w:hAnsi="Times New Roman"/>
          <w:i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o il team dei docenti motiveranno opportunamente, verbalizzandole, le decisioni assunte sulla base di considerazioni pedagogiche e didattiche; ciò al fine di evitare contenzioso “.</w:t>
      </w:r>
    </w:p>
    <w:p w14:paraId="0000008B" w14:textId="6913BC09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sulla base di una attenta osservazione e valutazione del profitto e del comportamento degli alunni, hanno individuato i seguenti alunni recanti BES (Bisogni Educativi Speciali):________________________Per suddetto/i alunno/i è stata predisposta dal Docente </w:t>
      </w:r>
      <w:r w:rsidR="00742C85">
        <w:rPr>
          <w:rFonts w:ascii="Times New Roman" w:eastAsia="Times New Roman" w:hAnsi="Times New Roman"/>
          <w:color w:val="000000"/>
          <w:sz w:val="20"/>
          <w:szCs w:val="20"/>
        </w:rPr>
        <w:t>Referente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una relazione dettagliata, la quale è stata condivisa e firmata da tutti i docenti del Consiglio; suddetta relazione, frutto delle osservazioni e delle considerazioni psico-pedagogiche, contiene una chiara e precisa indicazione degli elementi di difficoltà e/o svantaggio rilevati negli alunni individuati ed esplicita gli interventi e le strategie metodologico-didattiche che si intendono mettere in atto. Sulla base di suddetta relazione, il Consiglio di</w:t>
      </w:r>
      <w:r w:rsidR="008027DC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>, a seguito di attenta riflessione collegial</w:t>
      </w:r>
      <w:r w:rsidR="008027DC">
        <w:rPr>
          <w:rFonts w:ascii="Times New Roman" w:eastAsia="Times New Roman" w:hAnsi="Times New Roman"/>
          <w:color w:val="000000"/>
          <w:sz w:val="20"/>
          <w:szCs w:val="20"/>
        </w:rPr>
        <w:t xml:space="preserve">e, ha deliberato nel Consiglio </w:t>
      </w:r>
      <w:r>
        <w:rPr>
          <w:rFonts w:ascii="Times New Roman" w:eastAsia="Times New Roman" w:hAnsi="Times New Roman"/>
          <w:color w:val="000000"/>
          <w:sz w:val="20"/>
          <w:szCs w:val="20"/>
        </w:rPr>
        <w:t>di novembre l’adozione del Piano Didattico Personalizzato, che, firmato dai genitori, dai docenti e dal Dirigente Scolastico, verrà consegnato alla famiglia; una copia verrà inserita nel fascicolo personale dell’alunno e una copia verrà allegata al registro dei verbali.</w:t>
      </w:r>
    </w:p>
    <w:p w14:paraId="0000008C" w14:textId="77777777" w:rsidR="00666460" w:rsidRDefault="00666460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0000008D" w14:textId="77777777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FINALITA’ GENERALI DELL’APPRENDIMENTO</w:t>
      </w:r>
    </w:p>
    <w:p w14:paraId="0000008E" w14:textId="61B71F9A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concorda nel ritenere </w:t>
      </w:r>
      <w:r w:rsidR="007C0C31">
        <w:rPr>
          <w:rFonts w:ascii="Times New Roman" w:eastAsia="Times New Roman" w:hAnsi="Times New Roman"/>
          <w:color w:val="000000"/>
          <w:sz w:val="20"/>
          <w:szCs w:val="20"/>
        </w:rPr>
        <w:t xml:space="preserve">che </w:t>
      </w:r>
      <w:r w:rsidRPr="007C0C31">
        <w:rPr>
          <w:rFonts w:ascii="Times New Roman" w:eastAsia="Times New Roman" w:hAnsi="Times New Roman"/>
          <w:color w:val="000000"/>
          <w:sz w:val="20"/>
          <w:szCs w:val="20"/>
        </w:rPr>
        <w:t>ogni insegnante propone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 sviluppa percorsi didattici coerenti con il PTOF d’istituto, per il raggiungimento degli obiettivi disciplinari e dei traguardi finali previsti, nonché delle competenze chiave e di cittadinanza, e specificamente:</w:t>
      </w:r>
    </w:p>
    <w:p w14:paraId="0000008F" w14:textId="77777777" w:rsidR="00666460" w:rsidRDefault="00A175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alfabetica funzionale;</w:t>
      </w:r>
    </w:p>
    <w:p w14:paraId="00000090" w14:textId="77777777" w:rsidR="00666460" w:rsidRDefault="00A175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multilinguistica;</w:t>
      </w:r>
    </w:p>
    <w:p w14:paraId="00000091" w14:textId="77777777" w:rsidR="00666460" w:rsidRDefault="00A175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matematica e competenza di base in scienze e tecnologie;</w:t>
      </w:r>
    </w:p>
    <w:p w14:paraId="00000092" w14:textId="77777777" w:rsidR="00666460" w:rsidRDefault="00A175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digitale;</w:t>
      </w:r>
    </w:p>
    <w:p w14:paraId="00000093" w14:textId="77777777" w:rsidR="00666460" w:rsidRDefault="00A175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personale, sociale e capacità di imparare ad imparare;</w:t>
      </w:r>
    </w:p>
    <w:p w14:paraId="00000094" w14:textId="77777777" w:rsidR="00666460" w:rsidRDefault="00A175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sociale e civica in materia di cittadinanza;</w:t>
      </w:r>
    </w:p>
    <w:p w14:paraId="00000095" w14:textId="77777777" w:rsidR="00666460" w:rsidRDefault="00A175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imprenditoriale;</w:t>
      </w:r>
    </w:p>
    <w:p w14:paraId="00000096" w14:textId="77777777" w:rsidR="00666460" w:rsidRDefault="00A1757A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competenza in materia di consapevolezza ed espressione culturali.</w:t>
      </w:r>
    </w:p>
    <w:p w14:paraId="00000097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Poiché lo scopo a cui la scuola mira è quello dell’educazione integrale della persona, si intendono perseguire i seguenti obiettivi transdisciplinari coerenti con il PTOF.</w:t>
      </w:r>
    </w:p>
    <w:p w14:paraId="00000098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99" w14:textId="2B8971BB" w:rsidR="00666460" w:rsidRDefault="00A1757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C0C31">
        <w:rPr>
          <w:rFonts w:ascii="Times New Roman" w:eastAsia="Times New Roman" w:hAnsi="Times New Roman"/>
          <w:sz w:val="20"/>
          <w:szCs w:val="20"/>
        </w:rPr>
        <w:t>Obiettivi formativi generali:</w:t>
      </w:r>
      <w:sdt>
        <w:sdtPr>
          <w:tag w:val="goog_rdk_4"/>
          <w:id w:val="-1444062750"/>
          <w:showingPlcHdr/>
        </w:sdtPr>
        <w:sdtEndPr>
          <w:rPr>
            <w:highlight w:val="green"/>
          </w:rPr>
        </w:sdtEndPr>
        <w:sdtContent>
          <w:r w:rsidR="002A0C3D" w:rsidRPr="007C0C31">
            <w:t xml:space="preserve">     </w:t>
          </w:r>
        </w:sdtContent>
      </w:sdt>
    </w:p>
    <w:p w14:paraId="0000009A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l’alfabetizzazione culturale di base garantendo lo sviluppo delle potenzialità di ciascuno;</w:t>
      </w:r>
    </w:p>
    <w:p w14:paraId="0000009B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allo studio, alla responsabilità e al senso del dovere;</w:t>
      </w:r>
    </w:p>
    <w:p w14:paraId="41BB8038" w14:textId="77777777" w:rsidR="007C0C31" w:rsidRDefault="00A1757A" w:rsidP="007C0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una sempre più chiara conoscenza di sé per giungere ad un a propria identità personale in grado di operare scelte autonome, equilibrate e democraticamente responsabili (orientamento scolastico e professionale);</w:t>
      </w:r>
    </w:p>
    <w:p w14:paraId="0000009D" w14:textId="353B5F15" w:rsidR="00666460" w:rsidRPr="007C0C31" w:rsidRDefault="00A1757A" w:rsidP="007C0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C0C31">
        <w:rPr>
          <w:rFonts w:ascii="Times New Roman" w:eastAsia="Times New Roman" w:hAnsi="Times New Roman"/>
          <w:color w:val="000000"/>
          <w:sz w:val="20"/>
          <w:szCs w:val="20"/>
        </w:rPr>
        <w:t xml:space="preserve">educare </w:t>
      </w:r>
      <w:r w:rsidR="007C0C31" w:rsidRPr="007C0C31">
        <w:rPr>
          <w:rFonts w:ascii="Times New Roman" w:eastAsia="Times New Roman" w:hAnsi="Times New Roman"/>
          <w:color w:val="000000"/>
          <w:sz w:val="20"/>
          <w:szCs w:val="20"/>
        </w:rPr>
        <w:t>al dialogo e alla non violenza</w:t>
      </w:r>
    </w:p>
    <w:p w14:paraId="0000009E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favorire il processo di crescita e di affermazione e maturazione della personalità, mediante atteggiamenti di ascolto e di dialogo, per lo sviluppo delle capacità di riflessione e di autocontrollo</w:t>
      </w:r>
    </w:p>
    <w:p w14:paraId="0000009F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formare l’alunno al valore della disponibilità, della solidarietà e dell’aiuto reciproco;</w:t>
      </w:r>
    </w:p>
    <w:p w14:paraId="000000A0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comportamenti consapevoli e responsabili verso l’ambiente e le sue risorse, in una prospettiva di “sviluppo naturale ecocentrico”;</w:t>
      </w:r>
    </w:p>
    <w:p w14:paraId="000000A1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l’intelligenza creativa e la capacità di apprezzare le diverse forme di espressione artistica al fine di accrescere la sensibilità, il senso del bello e la capacità di espressione personale;</w:t>
      </w:r>
    </w:p>
    <w:p w14:paraId="000000A2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la capacità di porsi in modo critico di fronte alla molteplicità delle informazioni e delle sollecitazioni esterne.</w:t>
      </w:r>
    </w:p>
    <w:p w14:paraId="000000A3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Cittadinanza attiva attraverso la valorizzazione delle diverse identità e radici culturali di ogni alunno che deve diventare cittadino d’Europa e del mondo e promuovere negli alunni, attraverso la conoscenza dell’altro, il rispetto verso le diverse culture</w:t>
      </w:r>
    </w:p>
    <w:p w14:paraId="000000A4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la libertà di pensiero e di espressione e la convivenza anche in contesti multi etnici</w:t>
      </w:r>
    </w:p>
    <w:p w14:paraId="000000A5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convivenza civile ed al rispetto della legalità.</w:t>
      </w:r>
    </w:p>
    <w:p w14:paraId="000000A6" w14:textId="77777777" w:rsidR="00666460" w:rsidRDefault="00A17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l’arricchimento personale, per assumere un ruolo costruttivo nella società e affrontare l’incertezza e la mutevolezza degli scenari sociali e professionali.</w:t>
      </w:r>
    </w:p>
    <w:p w14:paraId="000000A7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A8" w14:textId="77777777" w:rsidR="00666460" w:rsidRDefault="00A1757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Obiettivi formativi prioritari</w:t>
      </w:r>
    </w:p>
    <w:p w14:paraId="000000A9" w14:textId="428A1874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Premesso </w:t>
      </w:r>
      <w:r w:rsidRPr="007C0C31">
        <w:rPr>
          <w:rFonts w:ascii="Times New Roman" w:eastAsia="Times New Roman" w:hAnsi="Times New Roman"/>
          <w:sz w:val="20"/>
          <w:szCs w:val="20"/>
        </w:rPr>
        <w:t>che ogni</w:t>
      </w:r>
      <w:r w:rsidR="00C134F1" w:rsidRPr="007C0C31">
        <w:rPr>
          <w:rFonts w:ascii="Times New Roman" w:eastAsia="Times New Roman" w:hAnsi="Times New Roman"/>
          <w:sz w:val="20"/>
          <w:szCs w:val="20"/>
        </w:rPr>
        <w:t xml:space="preserve"> campo di esperienza </w:t>
      </w:r>
      <w:r w:rsidRPr="007C0C31">
        <w:rPr>
          <w:rFonts w:ascii="Times New Roman" w:eastAsia="Times New Roman" w:hAnsi="Times New Roman"/>
          <w:sz w:val="20"/>
          <w:szCs w:val="20"/>
        </w:rPr>
        <w:t>favorisce negli alunni l’acquisizione di conoscenze e competenze specifiche e</w:t>
      </w:r>
      <w:r>
        <w:rPr>
          <w:rFonts w:ascii="Times New Roman" w:eastAsia="Times New Roman" w:hAnsi="Times New Roman"/>
          <w:sz w:val="20"/>
          <w:szCs w:val="20"/>
        </w:rPr>
        <w:t xml:space="preserve"> che la competenza è ciò che una persona sa fare, grazie alle conoscenze acquisite in un particolare ambito disciplinare, e sa utilizzare in contesti nuovi e diversi, la scuola, in relazione a ciò e a quanto indicato nel comma 7 art. 1 della legge 107/2015, individua i seguenti obiettivi formativi prioritari:</w:t>
      </w:r>
    </w:p>
    <w:p w14:paraId="000000AA" w14:textId="77777777" w:rsidR="00666460" w:rsidRDefault="006664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92"/>
      </w:tblGrid>
      <w:tr w:rsidR="00666460" w14:paraId="3E735B21" w14:textId="77777777" w:rsidTr="003C69B4">
        <w:tc>
          <w:tcPr>
            <w:tcW w:w="562" w:type="dxa"/>
            <w:shd w:val="clear" w:color="auto" w:fill="F4B083"/>
          </w:tcPr>
          <w:p w14:paraId="000000AB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a)</w:t>
            </w:r>
          </w:p>
          <w:p w14:paraId="000000AC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AD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AE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AF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b)</w:t>
            </w:r>
          </w:p>
          <w:p w14:paraId="000000B0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1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2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c)</w:t>
            </w:r>
          </w:p>
          <w:p w14:paraId="000000B3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4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5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6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d)</w:t>
            </w:r>
          </w:p>
          <w:p w14:paraId="000000B7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8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9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A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B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C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e)</w:t>
            </w:r>
          </w:p>
          <w:p w14:paraId="000000BD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E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BF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f)</w:t>
            </w:r>
          </w:p>
          <w:p w14:paraId="000000C0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1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2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g)</w:t>
            </w:r>
          </w:p>
          <w:p w14:paraId="000000C3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4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5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6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h)</w:t>
            </w:r>
          </w:p>
          <w:p w14:paraId="000000C7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8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9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i)</w:t>
            </w:r>
          </w:p>
          <w:p w14:paraId="000000CA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B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C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l)</w:t>
            </w:r>
          </w:p>
          <w:p w14:paraId="000000CD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E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CF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D0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D1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DC" w14:textId="07E25BA6" w:rsidR="00666460" w:rsidRDefault="003C69B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="00A1757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292" w:type="dxa"/>
            <w:shd w:val="clear" w:color="auto" w:fill="FBE4D5"/>
          </w:tcPr>
          <w:p w14:paraId="000000DD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valorizzazione e potenziamento delle competenze linguistiche, con particolare riferimento all’italiano non- ché alla lingua inglese e ad altre lingue dell’Unione europea, anche mediante l’utilizzo della metodologia Content language integrated learning</w:t>
            </w:r>
          </w:p>
          <w:p w14:paraId="000000DE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DF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potenziamento delle competenze matematico- logiche e scientifiche</w:t>
            </w:r>
          </w:p>
          <w:p w14:paraId="000000E0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1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potenziamento delle competenze nella pratica e nella cultura musicali, nell’arte e nella storia dell’arte,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000000E2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3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sviluppo delle competenze in materia di cittadinanza attiva e democratica attraverso la valorizzazione dell’educazione interculturale e alla pace, il rispetto delle differenze e il dialogo tra le culture, il sostegno dell’assunzione di responsabilità nonché della solidarietà e della cura dei beni comuni e della consapevolezza dei diritti e dei doveri; potenziamento delle conoscenze in mate- ria giuridica ed economico-finanziaria e di educazione all’autoimprenditorialità</w:t>
            </w:r>
          </w:p>
          <w:p w14:paraId="000000E4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5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000000E6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7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alfabetizzazione all’arte, alle tecniche e ai media di produzione e diffusione delle immagini</w:t>
            </w:r>
          </w:p>
          <w:p w14:paraId="000000E8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9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A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potenziamento delle discipline motorie e sviluppo di comportamenti ispirati a uno stile di vita sano, con particolare riferimento all’alimentazione, all’educazione fi- sica e allo sport, e attenzione alla tutela del diritto allo studio degli studenti praticanti attività sportiva agonistica</w:t>
            </w:r>
          </w:p>
          <w:p w14:paraId="000000EB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C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sviluppo delle competenze digitali degli studenti, con particolare riguardo al pensiero computazionale, all’utilizzo critico e consapevole dei social network e dei media nonché alla produzione e ai legami con il mondo del lavoro</w:t>
            </w:r>
          </w:p>
          <w:p w14:paraId="000000ED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EE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potenziamento delle metodologie laboratoriali e delle attività di laboratorio</w:t>
            </w:r>
          </w:p>
          <w:p w14:paraId="000000EF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0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1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prevenzione e contrasto della dispersione scolastica, di ogni forma di discriminazione e del bullismo, anche informatico; potenziamento dell’inclusione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Ministero dell’istruzione, dell’università e della ricerca il 18 dicembre 2014</w:t>
            </w:r>
          </w:p>
          <w:p w14:paraId="000000F2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3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valorizzazione della scuola intesa come comunità attiva, aperta al territorio e in grado di sviluppare e aumentare l’interazione con le famiglie e con la comunità locale, comprese le organizzazioni del terzo settore e le imprese</w:t>
            </w:r>
          </w:p>
          <w:p w14:paraId="000000F4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5" w14:textId="77777777" w:rsidR="00666460" w:rsidRDefault="00A1757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valorizzazione di percorsi formativi individualizzati e coinvolgimento degli alunni e degli studenti</w:t>
            </w:r>
          </w:p>
          <w:p w14:paraId="000000F6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7" w14:textId="77777777" w:rsidR="00666460" w:rsidRDefault="00666460">
            <w:pPr>
              <w:jc w:val="both"/>
              <w:rPr>
                <w:rFonts w:ascii="Times New Roman" w:eastAsia="Times New Roman" w:hAnsi="Times New Roman"/>
              </w:rPr>
            </w:pPr>
          </w:p>
          <w:p w14:paraId="000000FA" w14:textId="59396E04" w:rsidR="00666460" w:rsidRDefault="00666460" w:rsidP="00EF34B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00000FB" w14:textId="77777777" w:rsidR="00666460" w:rsidRDefault="006664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CCE660" w14:textId="0C327943" w:rsidR="00FE1447" w:rsidRPr="00FE1447" w:rsidRDefault="00A1757A" w:rsidP="00E902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EF34B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TRAGUARDI ED OBIETTIVI DI APPRENDIMENTO (INDICAZIONI NAZIONALI </w:t>
      </w:r>
      <w:r w:rsidR="00EF34B9">
        <w:rPr>
          <w:rFonts w:ascii="Times New Roman" w:eastAsia="Times New Roman" w:hAnsi="Times New Roman"/>
          <w:b/>
          <w:color w:val="000000"/>
          <w:sz w:val="20"/>
          <w:szCs w:val="20"/>
        </w:rPr>
        <w:t>2012</w:t>
      </w:r>
      <w:r w:rsidR="00791116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E NUOVI SCENARI</w:t>
      </w:r>
      <w:r w:rsidR="00EF34B9">
        <w:rPr>
          <w:rFonts w:ascii="Times New Roman" w:eastAsia="Times New Roman" w:hAnsi="Times New Roman"/>
          <w:b/>
          <w:color w:val="000000"/>
          <w:sz w:val="20"/>
          <w:szCs w:val="20"/>
        </w:rPr>
        <w:t>)</w:t>
      </w:r>
    </w:p>
    <w:p w14:paraId="000000FD" w14:textId="1F8DCBB7" w:rsidR="00666460" w:rsidRPr="00EF34B9" w:rsidRDefault="00EF34B9" w:rsidP="00FE1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A1757A" w:rsidRPr="00EF34B9">
        <w:rPr>
          <w:rFonts w:ascii="Times New Roman" w:eastAsia="Times New Roman" w:hAnsi="Times New Roman"/>
          <w:sz w:val="20"/>
          <w:szCs w:val="20"/>
        </w:rPr>
        <w:t xml:space="preserve">Attraverso i campi di esperienza </w:t>
      </w:r>
      <w:r w:rsidR="00A1757A" w:rsidRPr="00EF34B9">
        <w:rPr>
          <w:rFonts w:ascii="Times New Roman" w:eastAsia="Times New Roman" w:hAnsi="Times New Roman"/>
          <w:b/>
          <w:color w:val="000000"/>
        </w:rPr>
        <w:t>il sé e l’altro, il corpo ed il movimento immagini, suoni, colori immagini, suoni, colori la conoscenza del mondo</w:t>
      </w:r>
      <w:r w:rsidR="00A1757A" w:rsidRPr="00EF34B9">
        <w:rPr>
          <w:rFonts w:ascii="Times New Roman" w:eastAsia="Times New Roman" w:hAnsi="Times New Roman"/>
          <w:sz w:val="20"/>
          <w:szCs w:val="20"/>
        </w:rPr>
        <w:t>, si opera per il raggiungimento, nel corso degli anni di permanenza nella scuola, dei traguardi per lo sviluppo delle competenze, che a questa età vanno intesi in modo globale e unitario. In continuità col curricolo verticale elaborato insieme ai docenti di scuola primaria e secondaria di I grado, i traguardi sono stati declinati in obiettivi di apprendimento, che verranno contestualizzati e sviluppati al momento della progettazione dei percorsi.</w:t>
      </w:r>
    </w:p>
    <w:p w14:paraId="000000FE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I traguardi delle competenze, gli obiettivi di apprendimento ed i contenuti sono analiticamente riportati nelle programmazioni per campi di esperienza per sezioni</w:t>
      </w:r>
      <w:r>
        <w:rPr>
          <w:rFonts w:ascii="Times New Roman" w:eastAsia="Times New Roman" w:hAnsi="Times New Roman"/>
          <w:sz w:val="20"/>
          <w:szCs w:val="20"/>
        </w:rPr>
        <w:t xml:space="preserve"> disponibili sul sito della scuola.</w:t>
      </w:r>
    </w:p>
    <w:p w14:paraId="000000FF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100" w14:textId="77777777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PROGRAMMAZIONE ATTIVITA’</w:t>
      </w:r>
    </w:p>
    <w:p w14:paraId="00000101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L’insegnamento di Educazione Civica</w:t>
      </w:r>
    </w:p>
    <w:p w14:paraId="102306C1" w14:textId="77777777" w:rsidR="00133250" w:rsidRDefault="00133250" w:rsidP="0013325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L’introduzione dell’Educazione Civica nelle scuole di ogni ordine e grado a partire dall’a.s. 2020/21 è importante per lo sviluppo della conoscenza e della comprensione dei profili sociali, economici, giuridici, civici e ambientali della società. Il curricolo di Educazione Civica, elaborato dai docenti dell’Istituto, come previsto dalle Linee guida per l’insegnamento dell’Educazione civica L.20/19 n° 92 e dal Decreto attuativo del 22 giugno 2020, è stato aggiornato con le indicazioni delle </w:t>
      </w:r>
      <w:r>
        <w:rPr>
          <w:rFonts w:ascii="Times New Roman" w:hAnsi="Times New Roman"/>
          <w:b/>
          <w:bCs/>
          <w:sz w:val="20"/>
          <w:szCs w:val="20"/>
        </w:rPr>
        <w:t xml:space="preserve">nuove Linee Guida per l’insegnamento dell’Educazione Civica D.M. n.183/24 </w:t>
      </w:r>
      <w:r>
        <w:rPr>
          <w:rFonts w:ascii="Times New Roman" w:hAnsi="Times New Roman"/>
          <w:bCs/>
          <w:sz w:val="20"/>
          <w:szCs w:val="20"/>
        </w:rPr>
        <w:t>ed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offre ad ogni alunno un percorso formativo organico e completo capace di stimolare i diversi tipi di intelligenza e di favorire l’apprendimento di ciascuno. </w:t>
      </w:r>
    </w:p>
    <w:p w14:paraId="2AC6E292" w14:textId="77777777" w:rsidR="00133250" w:rsidRDefault="00133250" w:rsidP="0013325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Essendo l’educazione civica una materia trasversale con voto autonomo, il suo inserimento ha comportato la necessità di aggiornare l’allegato di valutazione di valutazione degli apprendimenti.</w:t>
      </w:r>
    </w:p>
    <w:p w14:paraId="2AEEC751" w14:textId="77777777" w:rsidR="00133250" w:rsidRDefault="00133250" w:rsidP="0013325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La distribuzione del monte ore previsto tiene conto che la legge prevede che all’insegnamento siano </w:t>
      </w:r>
      <w:r>
        <w:rPr>
          <w:rFonts w:ascii="Times New Roman" w:hAnsi="Times New Roman"/>
          <w:sz w:val="20"/>
          <w:szCs w:val="20"/>
          <w:u w:val="single"/>
        </w:rPr>
        <w:t>dedicate non meno di 33 ore annue.</w:t>
      </w:r>
    </w:p>
    <w:p w14:paraId="256144D2" w14:textId="57E82280" w:rsidR="00133250" w:rsidRDefault="00133250" w:rsidP="00133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 tempi e modalità organizzative: in fase di programmazione ad inizio anno scolastico è stata concordata la suddivisione oraria per le diverse discipline e per ciascun anno scolastico.</w:t>
      </w:r>
    </w:p>
    <w:p w14:paraId="1F99F054" w14:textId="015CD238" w:rsidR="00133250" w:rsidRDefault="00133250" w:rsidP="00133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della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 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si avvalgono di strumenti condivisi, quali rubriche e griglie di osservazione, finalizzati ad accertare il conseguimento da parte degli alunni delle conoscenze e abilità e del progressivo sviluppo delle competenze.</w:t>
      </w:r>
    </w:p>
    <w:p w14:paraId="00000104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05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5A7F39D" w14:textId="77777777" w:rsidR="00280285" w:rsidRPr="00280285" w:rsidRDefault="00280285" w:rsidP="00280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280285">
        <w:rPr>
          <w:rFonts w:ascii="Times New Roman" w:eastAsia="Times New Roman" w:hAnsi="Times New Roman"/>
          <w:b/>
          <w:color w:val="000000"/>
          <w:sz w:val="20"/>
          <w:szCs w:val="20"/>
        </w:rPr>
        <w:t>Attività di orientamento</w:t>
      </w:r>
    </w:p>
    <w:p w14:paraId="3498DF4A" w14:textId="13FDAB79" w:rsidR="00A03110" w:rsidRDefault="00A03110" w:rsidP="00A03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A partire dall’anno scolastico 2024-2025, la scuola ha elaborato il Piano dell’Orientamento in conformità con quanto previsto dal Decreto Ministeriale n. 328 del 22 dicembre 2023.</w:t>
      </w:r>
    </w:p>
    <w:p w14:paraId="67BAEFC0" w14:textId="7C20C2DB" w:rsidR="00A03110" w:rsidRDefault="00A03110" w:rsidP="00A03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Consiglio di Sezione definisce tipologie, tempi e modalità organizzative delle attività di orientamento, integrandole nella progettazione didattica annuale. Il percorso di orientamento prende avvio già dalla scuola dell’infanzia e prosegue nella scuola primaria, con l’obiettivo di sostenere lo sviluppo globale degli alunni. In particolare, promuove la fiducia in sé stessi, l’autostima, la motivazione, l’impegno, il riconoscimento delle proprie attitudini e dei propri talenti.</w:t>
      </w:r>
    </w:p>
    <w:p w14:paraId="0FE04864" w14:textId="2A45EF7C" w:rsidR="00906FD3" w:rsidRDefault="00906FD3" w:rsidP="00A03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C77387C" w14:textId="77777777" w:rsidR="00906FD3" w:rsidRDefault="00906FD3" w:rsidP="00906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22A4" w14:textId="3E9AC911" w:rsidR="00906FD3" w:rsidRDefault="00906FD3" w:rsidP="00A03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32062B2" w14:textId="77777777" w:rsidR="00906FD3" w:rsidRDefault="00906FD3" w:rsidP="00A03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106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Progetti PTOF curriculari </w:t>
      </w:r>
    </w:p>
    <w:p w14:paraId="00000107" w14:textId="5719CA44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</w:t>
      </w:r>
      <w:r w:rsidR="00CA2A9D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14:paraId="00000108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09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10A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Progetti PON/POR/Progetti PTOF extracurriculari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14:paraId="0000010B" w14:textId="04E47990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</w:t>
      </w:r>
      <w:r w:rsidR="00CA2A9D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</w:t>
      </w:r>
    </w:p>
    <w:p w14:paraId="0000010C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0D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000010E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Attività relative alla continuità con la Scuola Primaria</w:t>
      </w:r>
    </w:p>
    <w:p w14:paraId="0000010F" w14:textId="4B7794A0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FE1447"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r w:rsidRPr="00FE1447">
        <w:rPr>
          <w:rFonts w:ascii="Times New Roman" w:eastAsia="Times New Roman" w:hAnsi="Times New Roman"/>
          <w:color w:val="000000"/>
          <w:sz w:val="20"/>
          <w:szCs w:val="20"/>
        </w:rPr>
        <w:t xml:space="preserve"> in orario curricolare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</w:t>
      </w:r>
    </w:p>
    <w:p w14:paraId="00000110" w14:textId="5A5C51FB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</w:t>
      </w:r>
      <w:r w:rsidR="00CA2A9D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14:paraId="00000111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12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Concorsi e/o manifestazioni esterne all’Ist</w:t>
      </w:r>
      <w:r>
        <w:rPr>
          <w:rFonts w:ascii="Times New Roman" w:eastAsia="Times New Roman" w:hAnsi="Times New Roman"/>
          <w:b/>
          <w:sz w:val="20"/>
          <w:szCs w:val="20"/>
        </w:rPr>
        <w:t>ituto</w:t>
      </w:r>
    </w:p>
    <w:p w14:paraId="00000113" w14:textId="07FB9650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</w:t>
      </w:r>
      <w:r w:rsidR="00CA2A9D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14:paraId="00000114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15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. </w:t>
      </w:r>
    </w:p>
    <w:p w14:paraId="00000116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00000117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Visite guidate</w:t>
      </w:r>
    </w:p>
    <w:p w14:paraId="00000118" w14:textId="0C7713AB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definisce tipologia, destinazioni, finalità,</w:t>
      </w:r>
      <w:r w:rsidR="00CA2A9D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14:paraId="00000119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1A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0000011B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0000011C" w14:textId="77777777" w:rsidR="00666460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METODOLOGIE</w:t>
      </w:r>
    </w:p>
    <w:p w14:paraId="0000011D" w14:textId="05C4A9D4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concorda le seguenti metodologie e strategie:</w:t>
      </w:r>
    </w:p>
    <w:p w14:paraId="0000011E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conversazione guidata</w:t>
      </w:r>
    </w:p>
    <w:p w14:paraId="0000011F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 xml:space="preserve">∙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ricerca azione </w:t>
      </w:r>
    </w:p>
    <w:p w14:paraId="00000120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 xml:space="preserve">∙ </w:t>
      </w:r>
      <w:r>
        <w:rPr>
          <w:rFonts w:ascii="Times New Roman" w:eastAsia="Times New Roman" w:hAnsi="Times New Roman"/>
          <w:color w:val="000000"/>
          <w:sz w:val="20"/>
          <w:szCs w:val="20"/>
        </w:rPr>
        <w:t>esplorazione</w:t>
      </w:r>
    </w:p>
    <w:p w14:paraId="00000121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lavori di gruppo</w:t>
      </w:r>
    </w:p>
    <w:p w14:paraId="00000122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 xml:space="preserve">∙ </w:t>
      </w:r>
      <w:r>
        <w:rPr>
          <w:rFonts w:ascii="Times New Roman" w:eastAsia="Times New Roman" w:hAnsi="Times New Roman"/>
          <w:color w:val="000000"/>
          <w:sz w:val="20"/>
          <w:szCs w:val="20"/>
        </w:rPr>
        <w:t>interventi di didattica inclusiva</w:t>
      </w:r>
    </w:p>
    <w:p w14:paraId="00000123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 xml:space="preserve">∙ </w:t>
      </w:r>
      <w:r>
        <w:rPr>
          <w:rFonts w:ascii="Times New Roman" w:eastAsia="Times New Roman" w:hAnsi="Times New Roman"/>
          <w:color w:val="000000"/>
          <w:sz w:val="20"/>
          <w:szCs w:val="20"/>
        </w:rPr>
        <w:t>interventi di didattica personalizzata</w:t>
      </w:r>
    </w:p>
    <w:p w14:paraId="00000124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progetti speciali</w:t>
      </w:r>
    </w:p>
    <w:p w14:paraId="00000125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 xml:space="preserve">∙ 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altro________________________________.</w:t>
      </w:r>
    </w:p>
    <w:p w14:paraId="00000127" w14:textId="77777777" w:rsidR="00666460" w:rsidRPr="00E752AC" w:rsidRDefault="00A175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E752AC">
        <w:rPr>
          <w:rFonts w:ascii="Times New Roman" w:eastAsia="Times New Roman" w:hAnsi="Times New Roman"/>
          <w:b/>
          <w:color w:val="000000"/>
          <w:sz w:val="20"/>
          <w:szCs w:val="20"/>
        </w:rPr>
        <w:t>VALUTAZIONE</w:t>
      </w:r>
    </w:p>
    <w:p w14:paraId="00000128" w14:textId="658F6210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1" w:name="_heading=h.1fob9te" w:colFirst="0" w:colLast="0"/>
      <w:bookmarkEnd w:id="1"/>
      <w:r w:rsidRPr="00E752AC"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B251B1">
        <w:rPr>
          <w:rFonts w:ascii="Times New Roman" w:eastAsia="Times New Roman" w:hAnsi="Times New Roman"/>
          <w:color w:val="000000"/>
          <w:sz w:val="20"/>
          <w:szCs w:val="20"/>
        </w:rPr>
        <w:t>Sezione</w:t>
      </w:r>
      <w:r w:rsidRPr="00E752AC">
        <w:rPr>
          <w:rFonts w:ascii="Times New Roman" w:eastAsia="Times New Roman" w:hAnsi="Times New Roman"/>
          <w:color w:val="000000"/>
          <w:sz w:val="20"/>
          <w:szCs w:val="20"/>
        </w:rPr>
        <w:t xml:space="preserve"> concorda modalità di verifica e valutazione. La verifica, effettuata sistematicamente a conclusione di percorsi di apprendimenti significativi, su criteri strettamente correlati agli obiettivi formativi e alle competenze attese, sarà, come la conseguente valutazione, in itinere e sommativa e ben adeguata ai diversi stili di apprendimento.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00000129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Le verifiche che si intendono porre in essere sono:</w:t>
      </w:r>
    </w:p>
    <w:p w14:paraId="0000012A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raccolta di lavori, disegni, foto </w:t>
      </w:r>
    </w:p>
    <w:p w14:paraId="0000012B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osservazioni occasionali e sistematiche</w:t>
      </w:r>
    </w:p>
    <w:p w14:paraId="0000012C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osservazione del grado di attenzione e partecipazione alle attività</w:t>
      </w:r>
    </w:p>
    <w:p w14:paraId="0000012D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osservazione delle capacità di interpretare ruoli nel gioco simbolico e nelle drammatizzazioni</w:t>
      </w:r>
    </w:p>
    <w:p w14:paraId="0000012E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schede operative per verificare la comprensione degli argomenti discussi </w:t>
      </w:r>
    </w:p>
    <w:p w14:paraId="0000012F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esecuzione di canti, brani musicali, esercizi motori</w:t>
      </w:r>
    </w:p>
    <w:p w14:paraId="00000130" w14:textId="77777777" w:rsidR="00666460" w:rsidRDefault="00A175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realizzazione di prodotti pittorici e plastici</w:t>
      </w:r>
    </w:p>
    <w:p w14:paraId="00000131" w14:textId="77777777" w:rsidR="00666460" w:rsidRDefault="00A1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altro___________________.</w:t>
      </w:r>
    </w:p>
    <w:p w14:paraId="00000132" w14:textId="67F33D52" w:rsidR="00666460" w:rsidRDefault="005278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docente</w:t>
      </w:r>
      <w:r w:rsidR="00A1757A">
        <w:rPr>
          <w:rFonts w:ascii="Times New Roman" w:eastAsia="Times New Roman" w:hAnsi="Times New Roman"/>
          <w:color w:val="000000"/>
          <w:sz w:val="20"/>
          <w:szCs w:val="20"/>
        </w:rPr>
        <w:t xml:space="preserve"> userà rubriche di valutazione riportate nell’allegato al PTOF relativo alla valutazione degli apprendimenti e del comportamento. Le famiglie saranno costantemente informate mediante registro elettronico ARGO e negli incontri scuola-famiglia.</w:t>
      </w:r>
    </w:p>
    <w:p w14:paraId="00000133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134" w14:textId="77777777" w:rsidR="00666460" w:rsidRDefault="00666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6EE2E1B" w14:textId="77777777" w:rsidR="00800553" w:rsidRDefault="00800553" w:rsidP="00800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Baronissi, --------------------------------------</w:t>
      </w:r>
    </w:p>
    <w:p w14:paraId="29D01D79" w14:textId="77777777" w:rsidR="00800553" w:rsidRDefault="00800553" w:rsidP="00800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9CC4B50" w14:textId="77777777" w:rsidR="00800553" w:rsidRDefault="00800553" w:rsidP="00800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135" w14:textId="6906EB0C" w:rsidR="00666460" w:rsidRDefault="00800553" w:rsidP="00800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</w:t>
      </w:r>
      <w:r w:rsidR="00A1757A">
        <w:rPr>
          <w:rFonts w:ascii="Times New Roman" w:eastAsia="Times New Roman" w:hAnsi="Times New Roman"/>
          <w:color w:val="000000"/>
          <w:sz w:val="20"/>
          <w:szCs w:val="20"/>
        </w:rPr>
        <w:t xml:space="preserve">l Consiglio di </w:t>
      </w:r>
      <w:r w:rsidR="00D47ACF">
        <w:rPr>
          <w:rFonts w:ascii="Times New Roman" w:eastAsia="Times New Roman" w:hAnsi="Times New Roman"/>
          <w:color w:val="000000"/>
          <w:sz w:val="20"/>
          <w:szCs w:val="20"/>
        </w:rPr>
        <w:t>S</w:t>
      </w:r>
      <w:r w:rsidR="000A37BF">
        <w:rPr>
          <w:rFonts w:ascii="Times New Roman" w:eastAsia="Times New Roman" w:hAnsi="Times New Roman"/>
          <w:color w:val="000000"/>
          <w:sz w:val="20"/>
          <w:szCs w:val="20"/>
        </w:rPr>
        <w:t>ezione</w:t>
      </w:r>
    </w:p>
    <w:tbl>
      <w:tblPr>
        <w:tblStyle w:val="a4"/>
        <w:tblW w:w="5000" w:type="pct"/>
        <w:tblInd w:w="0" w:type="dxa"/>
        <w:tblBorders>
          <w:left w:val="nil"/>
          <w:right w:val="nil"/>
        </w:tblBorders>
        <w:tblLook w:val="0000" w:firstRow="0" w:lastRow="0" w:firstColumn="0" w:lastColumn="0" w:noHBand="0" w:noVBand="0"/>
      </w:tblPr>
      <w:tblGrid>
        <w:gridCol w:w="9618"/>
      </w:tblGrid>
      <w:tr w:rsidR="00B125FC" w14:paraId="675DCCCA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8101" w14:textId="2796963A" w:rsidR="00B125FC" w:rsidRDefault="00150560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FIRME </w:t>
            </w:r>
            <w:r w:rsidR="00B125FC">
              <w:rPr>
                <w:rFonts w:ascii="Times New Roman" w:eastAsia="Times New Roman" w:hAnsi="Times New Roman"/>
                <w:b/>
                <w:color w:val="000000"/>
              </w:rPr>
              <w:t>DOCENTI</w:t>
            </w:r>
          </w:p>
        </w:tc>
      </w:tr>
      <w:tr w:rsidR="00B125FC" w14:paraId="026608A7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61E3" w14:textId="77777777" w:rsidR="00B125FC" w:rsidRDefault="00B125FC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125FC" w14:paraId="3CDD9458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9136" w14:textId="77777777" w:rsidR="00B125FC" w:rsidRDefault="00B125FC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125FC" w14:paraId="1C6DF8CC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C8A4" w14:textId="77777777" w:rsidR="00B125FC" w:rsidRDefault="00B125FC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125FC" w14:paraId="72D65AA6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6CF2" w14:textId="77777777" w:rsidR="00B125FC" w:rsidRDefault="00B125FC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125FC" w14:paraId="27B07940" w14:textId="77777777" w:rsidTr="0032138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913C" w14:textId="77777777" w:rsidR="00B125FC" w:rsidRDefault="00B125FC" w:rsidP="00321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217EB683" w14:textId="2E5F3B92" w:rsidR="007341A9" w:rsidRDefault="007341A9" w:rsidP="00800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C1A9613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5B017314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21D006E8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259AA9B2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21F84C85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0284B22D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11409A7D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44304C70" w14:textId="77777777" w:rsidR="007341A9" w:rsidRPr="007341A9" w:rsidRDefault="007341A9" w:rsidP="007341A9">
      <w:pPr>
        <w:rPr>
          <w:rFonts w:ascii="Times New Roman" w:eastAsia="Times New Roman" w:hAnsi="Times New Roman"/>
          <w:sz w:val="20"/>
          <w:szCs w:val="20"/>
        </w:rPr>
      </w:pPr>
    </w:p>
    <w:p w14:paraId="167D1653" w14:textId="76736681" w:rsidR="00B125FC" w:rsidRPr="007341A9" w:rsidRDefault="00B125FC" w:rsidP="007341A9">
      <w:pPr>
        <w:ind w:firstLine="720"/>
        <w:rPr>
          <w:rFonts w:ascii="Times New Roman" w:eastAsia="Times New Roman" w:hAnsi="Times New Roman"/>
          <w:sz w:val="20"/>
          <w:szCs w:val="20"/>
        </w:rPr>
      </w:pPr>
    </w:p>
    <w:sectPr w:rsidR="00B125FC" w:rsidRPr="00734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40" w16cid:durableId="26C44F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09752" w14:textId="77777777" w:rsidR="0072767F" w:rsidRDefault="0072767F">
      <w:pPr>
        <w:spacing w:after="0" w:line="240" w:lineRule="auto"/>
      </w:pPr>
      <w:r>
        <w:separator/>
      </w:r>
    </w:p>
  </w:endnote>
  <w:endnote w:type="continuationSeparator" w:id="0">
    <w:p w14:paraId="76AFA0E1" w14:textId="77777777" w:rsidR="0072767F" w:rsidRDefault="0072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B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9DEC" w14:textId="3ED0D8FC" w:rsidR="000F7700" w:rsidRDefault="00F84649">
    <w:pPr>
      <w:pStyle w:val="Pidipagina"/>
    </w:pPr>
    <w:r>
      <w:t>A.S.</w:t>
    </w:r>
    <w:r w:rsidR="007341A9">
      <w:t>2025/26</w:t>
    </w:r>
  </w:p>
  <w:p w14:paraId="0000013F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C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12D0" w14:textId="77777777" w:rsidR="0072767F" w:rsidRDefault="0072767F">
      <w:pPr>
        <w:spacing w:after="0" w:line="240" w:lineRule="auto"/>
      </w:pPr>
      <w:r>
        <w:separator/>
      </w:r>
    </w:p>
  </w:footnote>
  <w:footnote w:type="continuationSeparator" w:id="0">
    <w:p w14:paraId="098C259C" w14:textId="77777777" w:rsidR="0072767F" w:rsidRDefault="0072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9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8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A" w14:textId="77777777" w:rsidR="00666460" w:rsidRDefault="00666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0D"/>
    <w:multiLevelType w:val="multilevel"/>
    <w:tmpl w:val="24145BD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9363B"/>
    <w:multiLevelType w:val="multilevel"/>
    <w:tmpl w:val="68A60366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B86"/>
    <w:multiLevelType w:val="multilevel"/>
    <w:tmpl w:val="3522E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980751C"/>
    <w:multiLevelType w:val="multilevel"/>
    <w:tmpl w:val="2B884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A12B0"/>
    <w:multiLevelType w:val="multilevel"/>
    <w:tmpl w:val="1910C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0"/>
    <w:rsid w:val="000304CF"/>
    <w:rsid w:val="00053465"/>
    <w:rsid w:val="000546D5"/>
    <w:rsid w:val="000842CE"/>
    <w:rsid w:val="000A37BF"/>
    <w:rsid w:val="000C7F4F"/>
    <w:rsid w:val="000F7700"/>
    <w:rsid w:val="00133250"/>
    <w:rsid w:val="00150560"/>
    <w:rsid w:val="001672D1"/>
    <w:rsid w:val="00187068"/>
    <w:rsid w:val="001B1005"/>
    <w:rsid w:val="00280285"/>
    <w:rsid w:val="002A0C3D"/>
    <w:rsid w:val="002C0040"/>
    <w:rsid w:val="002F1FE0"/>
    <w:rsid w:val="002F7FFE"/>
    <w:rsid w:val="00387E79"/>
    <w:rsid w:val="00391533"/>
    <w:rsid w:val="003C69B4"/>
    <w:rsid w:val="004A5BC7"/>
    <w:rsid w:val="004D4A0F"/>
    <w:rsid w:val="004F3AE9"/>
    <w:rsid w:val="0052783E"/>
    <w:rsid w:val="00571B44"/>
    <w:rsid w:val="005B51D9"/>
    <w:rsid w:val="005D66A5"/>
    <w:rsid w:val="00606310"/>
    <w:rsid w:val="00666460"/>
    <w:rsid w:val="0072767F"/>
    <w:rsid w:val="007341A9"/>
    <w:rsid w:val="00742C85"/>
    <w:rsid w:val="0077741A"/>
    <w:rsid w:val="00791116"/>
    <w:rsid w:val="007C0C31"/>
    <w:rsid w:val="00800553"/>
    <w:rsid w:val="008027DC"/>
    <w:rsid w:val="00857DC4"/>
    <w:rsid w:val="008B32B5"/>
    <w:rsid w:val="00906FD3"/>
    <w:rsid w:val="009215E1"/>
    <w:rsid w:val="00942741"/>
    <w:rsid w:val="009529F5"/>
    <w:rsid w:val="009B71A3"/>
    <w:rsid w:val="009E2013"/>
    <w:rsid w:val="00A03110"/>
    <w:rsid w:val="00A1757A"/>
    <w:rsid w:val="00A66CAB"/>
    <w:rsid w:val="00AF1FB7"/>
    <w:rsid w:val="00B125FC"/>
    <w:rsid w:val="00B251B1"/>
    <w:rsid w:val="00B6549B"/>
    <w:rsid w:val="00B771ED"/>
    <w:rsid w:val="00C134F1"/>
    <w:rsid w:val="00CA2A9D"/>
    <w:rsid w:val="00CC67CB"/>
    <w:rsid w:val="00CD7CCE"/>
    <w:rsid w:val="00CE6B87"/>
    <w:rsid w:val="00D47ACF"/>
    <w:rsid w:val="00E407F4"/>
    <w:rsid w:val="00E43A6B"/>
    <w:rsid w:val="00E752AC"/>
    <w:rsid w:val="00EB5507"/>
    <w:rsid w:val="00EE7E13"/>
    <w:rsid w:val="00EF34B9"/>
    <w:rsid w:val="00F27ACD"/>
    <w:rsid w:val="00F42187"/>
    <w:rsid w:val="00F44A42"/>
    <w:rsid w:val="00F6467B"/>
    <w:rsid w:val="00F84649"/>
    <w:rsid w:val="00FD16BE"/>
    <w:rsid w:val="00FE1447"/>
    <w:rsid w:val="00FE3A3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6F28"/>
  <w15:docId w15:val="{24DC1508-A385-4FA8-9950-928C420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AE8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4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2AE8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7E2A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A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2AE8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7E2AE8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E2AE8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essunaspaziatura">
    <w:name w:val="No Spacing"/>
    <w:uiPriority w:val="99"/>
    <w:qFormat/>
    <w:rsid w:val="007E2AE8"/>
    <w:pPr>
      <w:spacing w:after="0" w:line="240" w:lineRule="auto"/>
    </w:pPr>
    <w:rPr>
      <w:rFonts w:eastAsia="MS Mincho" w:cs="Times New Roman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AE8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75C56"/>
    <w:rPr>
      <w:i/>
      <w:iCs/>
    </w:rPr>
  </w:style>
  <w:style w:type="character" w:styleId="Enfasigrassetto">
    <w:name w:val="Strong"/>
    <w:basedOn w:val="Carpredefinitoparagrafo"/>
    <w:uiPriority w:val="22"/>
    <w:qFormat/>
    <w:rsid w:val="007F07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0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4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F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F2"/>
    <w:rPr>
      <w:rFonts w:cs="Times New Roman"/>
    </w:rPr>
  </w:style>
  <w:style w:type="character" w:customStyle="1" w:styleId="markedcontent">
    <w:name w:val="markedcontent"/>
    <w:basedOn w:val="Carpredefinitoparagrafo"/>
    <w:rsid w:val="00A35693"/>
  </w:style>
  <w:style w:type="character" w:styleId="Rimandocommento">
    <w:name w:val="annotation reference"/>
    <w:basedOn w:val="Carpredefinitoparagrafo"/>
    <w:uiPriority w:val="99"/>
    <w:semiHidden/>
    <w:unhideWhenUsed/>
    <w:rsid w:val="003E3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B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B5F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B5F"/>
    <w:rPr>
      <w:rFonts w:cs="Times New Roman"/>
      <w:b/>
      <w:bCs/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PIWBGqvo2wI7I6kH7uyxqCU2nA==">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62</cp:revision>
  <dcterms:created xsi:type="dcterms:W3CDTF">2022-09-09T15:24:00Z</dcterms:created>
  <dcterms:modified xsi:type="dcterms:W3CDTF">2025-10-15T16:10:00Z</dcterms:modified>
</cp:coreProperties>
</file>