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153" w:rsidRPr="00D16E2B" w:rsidRDefault="00FE18EB" w:rsidP="00DB2153">
      <w:pPr>
        <w:rPr>
          <w:sz w:val="18"/>
          <w:szCs w:val="18"/>
          <w:lang w:val="it-IT"/>
        </w:rPr>
      </w:pPr>
      <w:r w:rsidRPr="00D16E2B">
        <w:rPr>
          <w:noProof/>
          <w:sz w:val="20"/>
          <w:szCs w:val="20"/>
          <w:lang w:val="it-IT" w:eastAsia="it-IT"/>
        </w:rPr>
        <mc:AlternateContent>
          <mc:Choice Requires="wps">
            <w:drawing>
              <wp:anchor distT="0" distB="0" distL="114300" distR="114300" simplePos="0" relativeHeight="251660288" behindDoc="0" locked="0" layoutInCell="1" allowOverlap="1">
                <wp:simplePos x="0" y="0"/>
                <wp:positionH relativeFrom="column">
                  <wp:posOffset>8073390</wp:posOffset>
                </wp:positionH>
                <wp:positionV relativeFrom="paragraph">
                  <wp:posOffset>-49530</wp:posOffset>
                </wp:positionV>
                <wp:extent cx="830580" cy="739140"/>
                <wp:effectExtent l="0" t="0" r="7620" b="3810"/>
                <wp:wrapNone/>
                <wp:docPr id="1" name="Casella di testo 1"/>
                <wp:cNvGraphicFramePr/>
                <a:graphic xmlns:a="http://schemas.openxmlformats.org/drawingml/2006/main">
                  <a:graphicData uri="http://schemas.microsoft.com/office/word/2010/wordprocessingShape">
                    <wps:wsp>
                      <wps:cNvSpPr txBox="1"/>
                      <wps:spPr>
                        <a:xfrm>
                          <a:off x="0" y="0"/>
                          <a:ext cx="830580" cy="739140"/>
                        </a:xfrm>
                        <a:prstGeom prst="rect">
                          <a:avLst/>
                        </a:prstGeom>
                        <a:solidFill>
                          <a:schemeClr val="lt1"/>
                        </a:solidFill>
                        <a:ln w="6350">
                          <a:noFill/>
                        </a:ln>
                      </wps:spPr>
                      <wps:txbx>
                        <w:txbxContent>
                          <w:p w:rsidR="00FE18EB" w:rsidRDefault="00FE18EB">
                            <w:r w:rsidRPr="00FE18EB">
                              <w:rPr>
                                <w:noProof/>
                                <w:lang w:val="it-IT" w:eastAsia="it-IT"/>
                              </w:rPr>
                              <w:drawing>
                                <wp:inline distT="0" distB="0" distL="0" distR="0">
                                  <wp:extent cx="641350" cy="562082"/>
                                  <wp:effectExtent l="0" t="0" r="635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1350" cy="56208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635.7pt;margin-top:-3.9pt;width:65.4pt;height:5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" fillcolor="white [3201]" stroked="f" strokeweight=".5pt">
                <v:textbox>
                  <w:txbxContent>
                    <w:p w:rsidR="00FE18EB" w:rsidRDefault="00FE18EB">
                      <w:r w:rsidRPr="00FE18EB">
                        <w:rPr>
                          <w:noProof/>
                          <w:lang w:val="it-IT" w:eastAsia="it-IT"/>
                        </w:rPr>
                        <w:drawing>
                          <wp:inline distT="0" distB="0" distL="0" distR="0">
                            <wp:extent cx="641350" cy="562082"/>
                            <wp:effectExtent l="0" t="0" r="635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350" cy="562082"/>
                                    </a:xfrm>
                                    <a:prstGeom prst="rect">
                                      <a:avLst/>
                                    </a:prstGeom>
                                    <a:noFill/>
                                    <a:ln>
                                      <a:noFill/>
                                    </a:ln>
                                  </pic:spPr>
                                </pic:pic>
                              </a:graphicData>
                            </a:graphic>
                          </wp:inline>
                        </w:drawing>
                      </w:r>
                    </w:p>
                  </w:txbxContent>
                </v:textbox>
              </v:shape>
            </w:pict>
          </mc:Fallback>
        </mc:AlternateContent>
      </w:r>
      <w:r w:rsidR="00DD43FB" w:rsidRPr="00D16E2B">
        <w:rPr>
          <w:noProof/>
          <w:sz w:val="20"/>
          <w:szCs w:val="20"/>
          <w:lang w:val="it-IT" w:eastAsia="it-IT"/>
        </w:rPr>
        <mc:AlternateContent>
          <mc:Choice Requires="wps">
            <w:drawing>
              <wp:anchor distT="0" distB="0" distL="114300" distR="114300" simplePos="0" relativeHeight="251659264" behindDoc="0" locked="0" layoutInCell="1" allowOverlap="1" wp14:anchorId="15CC509B" wp14:editId="5A3D0A99">
                <wp:simplePos x="0" y="0"/>
                <wp:positionH relativeFrom="margin">
                  <wp:align>right</wp:align>
                </wp:positionH>
                <wp:positionV relativeFrom="paragraph">
                  <wp:posOffset>-339090</wp:posOffset>
                </wp:positionV>
                <wp:extent cx="9052560" cy="1371600"/>
                <wp:effectExtent l="0" t="0" r="15240" b="19050"/>
                <wp:wrapNone/>
                <wp:docPr id="6" name="Casella di testo 6"/>
                <wp:cNvGraphicFramePr/>
                <a:graphic xmlns:a="http://schemas.openxmlformats.org/drawingml/2006/main">
                  <a:graphicData uri="http://schemas.microsoft.com/office/word/2010/wordprocessingShape">
                    <wps:wsp>
                      <wps:cNvSpPr txBox="1"/>
                      <wps:spPr>
                        <a:xfrm>
                          <a:off x="0" y="0"/>
                          <a:ext cx="9052560" cy="1371600"/>
                        </a:xfrm>
                        <a:prstGeom prst="rect">
                          <a:avLst/>
                        </a:prstGeom>
                        <a:solidFill>
                          <a:schemeClr val="lt1"/>
                        </a:solidFill>
                        <a:ln w="6350">
                          <a:solidFill>
                            <a:prstClr val="black"/>
                          </a:solidFill>
                        </a:ln>
                      </wps:spPr>
                      <wps:txbx>
                        <w:txbxContent>
                          <w:p w:rsidR="00DD43FB" w:rsidRPr="0018648E" w:rsidRDefault="00DD43FB" w:rsidP="00DD43FB">
                            <w:pPr>
                              <w:jc w:val="center"/>
                              <w:rPr>
                                <w:b/>
                                <w:sz w:val="20"/>
                                <w:szCs w:val="20"/>
                              </w:rPr>
                            </w:pPr>
                            <w:r w:rsidRPr="0018648E">
                              <w:rPr>
                                <w:noProof/>
                                <w:sz w:val="20"/>
                                <w:szCs w:val="20"/>
                                <w:lang w:val="it-IT" w:eastAsia="it-IT"/>
                              </w:rPr>
                              <w:drawing>
                                <wp:inline distT="0" distB="0" distL="0" distR="0" wp14:anchorId="5509CD86" wp14:editId="741E771A">
                                  <wp:extent cx="371475" cy="381000"/>
                                  <wp:effectExtent l="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p>
                          <w:p w:rsidR="00DD43FB" w:rsidRPr="0018648E" w:rsidRDefault="00DD43FB" w:rsidP="00DD43FB">
                            <w:pPr>
                              <w:jc w:val="center"/>
                              <w:rPr>
                                <w:b/>
                                <w:sz w:val="20"/>
                                <w:szCs w:val="20"/>
                              </w:rPr>
                            </w:pPr>
                            <w:r w:rsidRPr="0018648E">
                              <w:rPr>
                                <w:b/>
                                <w:sz w:val="20"/>
                                <w:szCs w:val="20"/>
                              </w:rPr>
                              <w:t>ISTITUTO COMPRENSIVO AUTONOMIA 82</w:t>
                            </w:r>
                          </w:p>
                          <w:p w:rsidR="00DD43FB" w:rsidRPr="0018648E" w:rsidRDefault="00DD43FB" w:rsidP="00DD43FB">
                            <w:pPr>
                              <w:jc w:val="center"/>
                              <w:rPr>
                                <w:b/>
                                <w:sz w:val="20"/>
                                <w:szCs w:val="20"/>
                              </w:rPr>
                            </w:pPr>
                            <w:r w:rsidRPr="0018648E">
                              <w:rPr>
                                <w:b/>
                                <w:sz w:val="20"/>
                                <w:szCs w:val="20"/>
                              </w:rPr>
                              <w:t xml:space="preserve">SCUOLA </w:t>
                            </w:r>
                            <w:r>
                              <w:rPr>
                                <w:b/>
                                <w:sz w:val="20"/>
                                <w:szCs w:val="20"/>
                              </w:rPr>
                              <w:t xml:space="preserve">INFANZIA </w:t>
                            </w:r>
                            <w:r w:rsidRPr="0018648E">
                              <w:rPr>
                                <w:b/>
                                <w:sz w:val="20"/>
                                <w:szCs w:val="20"/>
                              </w:rPr>
                              <w:t>PRIMARIA E SECONDARIA DI PRIMO GRADO</w:t>
                            </w:r>
                          </w:p>
                          <w:p w:rsidR="00DD43FB" w:rsidRPr="0018648E" w:rsidRDefault="00DD43FB" w:rsidP="00DD43FB">
                            <w:pPr>
                              <w:jc w:val="center"/>
                              <w:rPr>
                                <w:b/>
                                <w:sz w:val="20"/>
                                <w:szCs w:val="20"/>
                              </w:rPr>
                            </w:pPr>
                            <w:r w:rsidRPr="0018648E">
                              <w:rPr>
                                <w:b/>
                                <w:sz w:val="20"/>
                                <w:szCs w:val="20"/>
                              </w:rPr>
                              <w:t>BARONISSI (SA)</w:t>
                            </w:r>
                          </w:p>
                          <w:p w:rsidR="00DD43FB" w:rsidRPr="0018648E" w:rsidRDefault="00DD43FB" w:rsidP="00DD43FB">
                            <w:pPr>
                              <w:jc w:val="center"/>
                              <w:rPr>
                                <w:b/>
                                <w:sz w:val="20"/>
                                <w:szCs w:val="20"/>
                              </w:rPr>
                            </w:pPr>
                            <w:r w:rsidRPr="0018648E">
                              <w:rPr>
                                <w:b/>
                                <w:sz w:val="20"/>
                                <w:szCs w:val="20"/>
                              </w:rPr>
                              <w:t xml:space="preserve">E.MAIL: </w:t>
                            </w:r>
                            <w:hyperlink r:id="rId10" w:history="1">
                              <w:r w:rsidRPr="0018648E">
                                <w:rPr>
                                  <w:rStyle w:val="Collegamentoipertestuale"/>
                                  <w:b/>
                                  <w:sz w:val="20"/>
                                  <w:szCs w:val="20"/>
                                </w:rPr>
                                <w:t>SAIC836006@istruzione.it-</w:t>
                              </w:r>
                            </w:hyperlink>
                            <w:r w:rsidRPr="0018648E">
                              <w:rPr>
                                <w:b/>
                                <w:sz w:val="20"/>
                                <w:szCs w:val="20"/>
                              </w:rPr>
                              <w:t>pec:  SAIC836006@pec.istruzione.it</w:t>
                            </w:r>
                          </w:p>
                          <w:p w:rsidR="00DD43FB" w:rsidRPr="0018648E" w:rsidRDefault="00DD43FB" w:rsidP="00DD43FB">
                            <w:pPr>
                              <w:jc w:val="center"/>
                              <w:rPr>
                                <w:sz w:val="20"/>
                                <w:szCs w:val="20"/>
                              </w:rPr>
                            </w:pPr>
                            <w:r w:rsidRPr="0018648E">
                              <w:rPr>
                                <w:b/>
                                <w:sz w:val="20"/>
                                <w:szCs w:val="20"/>
                              </w:rPr>
                              <w:t>SITO WEB: www.autonomia82.gov.it</w:t>
                            </w:r>
                          </w:p>
                          <w:p w:rsidR="00DD43FB" w:rsidRPr="0018648E" w:rsidRDefault="00DD43FB" w:rsidP="00DD43FB">
                            <w:pPr>
                              <w:jc w:val="center"/>
                              <w:rPr>
                                <w:sz w:val="20"/>
                                <w:szCs w:val="20"/>
                              </w:rPr>
                            </w:pPr>
                            <w:r w:rsidRPr="0018648E">
                              <w:rPr>
                                <w:sz w:val="20"/>
                                <w:szCs w:val="20"/>
                              </w:rPr>
                              <w:t>TEL/FAX 089878104                                            CF.80027970658</w:t>
                            </w:r>
                          </w:p>
                          <w:p w:rsidR="00DD43FB" w:rsidRDefault="00DD43FB" w:rsidP="00DD43F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C509B" id="_x0000_t202" coordsize="21600,21600" o:spt="202" path="m,l,21600r21600,l21600,xe">
                <v:stroke joinstyle="miter"/>
                <v:path gradientshapeok="t" o:connecttype="rect"/>
              </v:shapetype>
              <v:shape id="Casella di testo 6" o:spid="_x0000_s1026" type="#_x0000_t202" style="position:absolute;margin-left:661.6pt;margin-top:-26.7pt;width:712.8pt;height:1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" fillcolor="white [3201]" strokeweight=".5pt">
                <v:textbox>
                  <w:txbxContent>
                    <w:p w:rsidR="00DD43FB" w:rsidRPr="0018648E" w:rsidRDefault="00DD43FB" w:rsidP="00DD43FB">
                      <w:pPr>
                        <w:jc w:val="center"/>
                        <w:rPr>
                          <w:b/>
                          <w:sz w:val="20"/>
                          <w:szCs w:val="20"/>
                        </w:rPr>
                      </w:pPr>
                      <w:r w:rsidRPr="0018648E">
                        <w:rPr>
                          <w:noProof/>
                          <w:sz w:val="20"/>
                          <w:szCs w:val="20"/>
                          <w:lang w:val="it-IT" w:eastAsia="it-IT"/>
                        </w:rPr>
                        <w:drawing>
                          <wp:inline distT="0" distB="0" distL="0" distR="0" wp14:anchorId="5509CD86" wp14:editId="741E771A">
                            <wp:extent cx="371475" cy="381000"/>
                            <wp:effectExtent l="0" t="0" r="952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381000"/>
                                    </a:xfrm>
                                    <a:prstGeom prst="rect">
                                      <a:avLst/>
                                    </a:prstGeom>
                                    <a:noFill/>
                                    <a:ln>
                                      <a:noFill/>
                                    </a:ln>
                                  </pic:spPr>
                                </pic:pic>
                              </a:graphicData>
                            </a:graphic>
                          </wp:inline>
                        </w:drawing>
                      </w:r>
                    </w:p>
                    <w:p w:rsidR="00DD43FB" w:rsidRPr="0018648E" w:rsidRDefault="00DD43FB" w:rsidP="00DD43FB">
                      <w:pPr>
                        <w:jc w:val="center"/>
                        <w:rPr>
                          <w:b/>
                          <w:sz w:val="20"/>
                          <w:szCs w:val="20"/>
                        </w:rPr>
                      </w:pPr>
                      <w:r w:rsidRPr="0018648E">
                        <w:rPr>
                          <w:b/>
                          <w:sz w:val="20"/>
                          <w:szCs w:val="20"/>
                        </w:rPr>
                        <w:t>ISTITUTO COMPRENSIVO AUTONOMIA 82</w:t>
                      </w:r>
                    </w:p>
                    <w:p w:rsidR="00DD43FB" w:rsidRPr="0018648E" w:rsidRDefault="00DD43FB" w:rsidP="00DD43FB">
                      <w:pPr>
                        <w:jc w:val="center"/>
                        <w:rPr>
                          <w:b/>
                          <w:sz w:val="20"/>
                          <w:szCs w:val="20"/>
                        </w:rPr>
                      </w:pPr>
                      <w:r w:rsidRPr="0018648E">
                        <w:rPr>
                          <w:b/>
                          <w:sz w:val="20"/>
                          <w:szCs w:val="20"/>
                        </w:rPr>
                        <w:t xml:space="preserve">SCUOLA </w:t>
                      </w:r>
                      <w:r>
                        <w:rPr>
                          <w:b/>
                          <w:sz w:val="20"/>
                          <w:szCs w:val="20"/>
                        </w:rPr>
                        <w:t xml:space="preserve">INFANZIA </w:t>
                      </w:r>
                      <w:r w:rsidRPr="0018648E">
                        <w:rPr>
                          <w:b/>
                          <w:sz w:val="20"/>
                          <w:szCs w:val="20"/>
                        </w:rPr>
                        <w:t>PRIMARIA E SECONDARIA DI PRIMO GRADO</w:t>
                      </w:r>
                    </w:p>
                    <w:p w:rsidR="00DD43FB" w:rsidRPr="0018648E" w:rsidRDefault="00DD43FB" w:rsidP="00DD43FB">
                      <w:pPr>
                        <w:jc w:val="center"/>
                        <w:rPr>
                          <w:b/>
                          <w:sz w:val="20"/>
                          <w:szCs w:val="20"/>
                        </w:rPr>
                      </w:pPr>
                      <w:r w:rsidRPr="0018648E">
                        <w:rPr>
                          <w:b/>
                          <w:sz w:val="20"/>
                          <w:szCs w:val="20"/>
                        </w:rPr>
                        <w:t>BARONISSI (SA)</w:t>
                      </w:r>
                    </w:p>
                    <w:p w:rsidR="00DD43FB" w:rsidRPr="0018648E" w:rsidRDefault="00DD43FB" w:rsidP="00DD43FB">
                      <w:pPr>
                        <w:jc w:val="center"/>
                        <w:rPr>
                          <w:b/>
                          <w:sz w:val="20"/>
                          <w:szCs w:val="20"/>
                        </w:rPr>
                      </w:pPr>
                      <w:r w:rsidRPr="0018648E">
                        <w:rPr>
                          <w:b/>
                          <w:sz w:val="20"/>
                          <w:szCs w:val="20"/>
                        </w:rPr>
                        <w:t xml:space="preserve">E.MAIL: </w:t>
                      </w:r>
                      <w:hyperlink r:id="rId12" w:history="1">
                        <w:r w:rsidRPr="0018648E">
                          <w:rPr>
                            <w:rStyle w:val="Collegamentoipertestuale"/>
                            <w:b/>
                            <w:sz w:val="20"/>
                            <w:szCs w:val="20"/>
                          </w:rPr>
                          <w:t>SAIC836006@istruzione.it-</w:t>
                        </w:r>
                      </w:hyperlink>
                      <w:r w:rsidRPr="0018648E">
                        <w:rPr>
                          <w:b/>
                          <w:sz w:val="20"/>
                          <w:szCs w:val="20"/>
                        </w:rPr>
                        <w:t>pec:  SAIC836006@pec.istruzione.it</w:t>
                      </w:r>
                    </w:p>
                    <w:p w:rsidR="00DD43FB" w:rsidRPr="0018648E" w:rsidRDefault="00DD43FB" w:rsidP="00DD43FB">
                      <w:pPr>
                        <w:jc w:val="center"/>
                        <w:rPr>
                          <w:sz w:val="20"/>
                          <w:szCs w:val="20"/>
                        </w:rPr>
                      </w:pPr>
                      <w:r w:rsidRPr="0018648E">
                        <w:rPr>
                          <w:b/>
                          <w:sz w:val="20"/>
                          <w:szCs w:val="20"/>
                        </w:rPr>
                        <w:t>SITO WEB: www.autonomia82.gov.it</w:t>
                      </w:r>
                    </w:p>
                    <w:p w:rsidR="00DD43FB" w:rsidRPr="0018648E" w:rsidRDefault="00DD43FB" w:rsidP="00DD43FB">
                      <w:pPr>
                        <w:jc w:val="center"/>
                        <w:rPr>
                          <w:sz w:val="20"/>
                          <w:szCs w:val="20"/>
                        </w:rPr>
                      </w:pPr>
                      <w:r w:rsidRPr="0018648E">
                        <w:rPr>
                          <w:sz w:val="20"/>
                          <w:szCs w:val="20"/>
                        </w:rPr>
                        <w:t>TEL/FAX 089878104                                            CF.80027970658</w:t>
                      </w:r>
                    </w:p>
                    <w:p w:rsidR="00DD43FB" w:rsidRDefault="00DD43FB" w:rsidP="00DD43FB">
                      <w:pPr>
                        <w:jc w:val="center"/>
                      </w:pPr>
                    </w:p>
                  </w:txbxContent>
                </v:textbox>
                <w10:wrap anchorx="margin"/>
              </v:shape>
            </w:pict>
          </mc:Fallback>
        </mc:AlternateContent>
      </w:r>
    </w:p>
    <w:p w:rsidR="00DB2153" w:rsidRPr="00D16E2B" w:rsidRDefault="00DB2153" w:rsidP="00DB2153">
      <w:pPr>
        <w:jc w:val="center"/>
        <w:rPr>
          <w:sz w:val="18"/>
          <w:szCs w:val="18"/>
          <w:lang w:val="it-IT" w:eastAsia="it-IT"/>
        </w:rPr>
      </w:pPr>
    </w:p>
    <w:p w:rsidR="00DB2153" w:rsidRPr="00D16E2B" w:rsidRDefault="00DB2153" w:rsidP="00DB2153">
      <w:pPr>
        <w:jc w:val="center"/>
        <w:rPr>
          <w:sz w:val="18"/>
          <w:szCs w:val="18"/>
          <w:lang w:val="it-IT"/>
        </w:rPr>
      </w:pPr>
    </w:p>
    <w:p w:rsidR="00DB2153" w:rsidRPr="00D16E2B" w:rsidRDefault="00DB2153" w:rsidP="00DB2153">
      <w:pPr>
        <w:jc w:val="both"/>
        <w:rPr>
          <w:sz w:val="18"/>
          <w:szCs w:val="18"/>
          <w:lang w:val="it-IT"/>
        </w:rPr>
      </w:pPr>
    </w:p>
    <w:p w:rsidR="00DB2153" w:rsidRPr="00D16E2B" w:rsidRDefault="00DB2153" w:rsidP="00DB2153">
      <w:pPr>
        <w:jc w:val="both"/>
        <w:rPr>
          <w:sz w:val="18"/>
          <w:szCs w:val="18"/>
          <w:lang w:val="it-IT"/>
        </w:rPr>
      </w:pPr>
    </w:p>
    <w:p w:rsidR="00DB2153" w:rsidRPr="00D16E2B" w:rsidRDefault="00DB2153" w:rsidP="00DB2153">
      <w:pPr>
        <w:jc w:val="center"/>
        <w:rPr>
          <w:sz w:val="18"/>
          <w:szCs w:val="18"/>
          <w:lang w:val="it-IT"/>
        </w:rPr>
      </w:pPr>
    </w:p>
    <w:p w:rsidR="00DB2153" w:rsidRPr="00D16E2B" w:rsidRDefault="00DB2153" w:rsidP="00DB2153">
      <w:pPr>
        <w:spacing w:after="200" w:line="276" w:lineRule="auto"/>
        <w:jc w:val="both"/>
        <w:rPr>
          <w:b/>
          <w:bCs/>
          <w:sz w:val="18"/>
          <w:szCs w:val="18"/>
          <w:lang w:val="it-IT"/>
        </w:rPr>
      </w:pPr>
    </w:p>
    <w:p w:rsidR="00DB2153" w:rsidRPr="00D16E2B" w:rsidRDefault="00DB2153" w:rsidP="00DB2153">
      <w:pPr>
        <w:jc w:val="both"/>
        <w:rPr>
          <w:sz w:val="18"/>
          <w:szCs w:val="18"/>
          <w:lang w:val="it-IT"/>
        </w:rPr>
      </w:pPr>
    </w:p>
    <w:tbl>
      <w:tblPr>
        <w:tblStyle w:val="Grigliatabella"/>
        <w:tblW w:w="5000" w:type="pct"/>
        <w:tblInd w:w="0" w:type="dxa"/>
        <w:tblLook w:val="04A0" w:firstRow="1" w:lastRow="0" w:firstColumn="1" w:lastColumn="0" w:noHBand="0" w:noVBand="1"/>
      </w:tblPr>
      <w:tblGrid>
        <w:gridCol w:w="4760"/>
        <w:gridCol w:w="4760"/>
        <w:gridCol w:w="4757"/>
      </w:tblGrid>
      <w:tr w:rsidR="00D632CD" w:rsidRPr="00D16E2B" w:rsidTr="00887A2D">
        <w:trPr>
          <w:trHeight w:val="777"/>
        </w:trPr>
        <w:tc>
          <w:tcPr>
            <w:tcW w:w="1667" w:type="pct"/>
            <w:vMerge w:val="restart"/>
            <w:tcBorders>
              <w:top w:val="single" w:sz="4" w:space="0" w:color="auto"/>
              <w:left w:val="single" w:sz="4" w:space="0" w:color="auto"/>
              <w:right w:val="single" w:sz="4" w:space="0" w:color="auto"/>
            </w:tcBorders>
          </w:tcPr>
          <w:p w:rsidR="00D632CD" w:rsidRPr="00D16E2B" w:rsidRDefault="00D632CD">
            <w:pPr>
              <w:spacing w:after="200" w:line="276" w:lineRule="auto"/>
              <w:jc w:val="center"/>
              <w:rPr>
                <w:b/>
                <w:sz w:val="20"/>
                <w:szCs w:val="20"/>
                <w:lang w:val="it-IT"/>
              </w:rPr>
            </w:pPr>
            <w:r w:rsidRPr="00D16E2B">
              <w:rPr>
                <w:b/>
                <w:sz w:val="20"/>
                <w:szCs w:val="20"/>
                <w:lang w:val="it-IT"/>
              </w:rPr>
              <w:t>PRIORITA’</w:t>
            </w:r>
          </w:p>
          <w:p w:rsidR="00D632CD" w:rsidRPr="00D16E2B" w:rsidRDefault="00D632CD">
            <w:pPr>
              <w:spacing w:after="200" w:line="276" w:lineRule="auto"/>
              <w:jc w:val="center"/>
              <w:rPr>
                <w:b/>
                <w:sz w:val="20"/>
                <w:szCs w:val="20"/>
                <w:lang w:val="it-IT"/>
              </w:rPr>
            </w:pPr>
          </w:p>
          <w:p w:rsidR="00D632CD" w:rsidRPr="00D16E2B" w:rsidRDefault="00D632CD">
            <w:pPr>
              <w:spacing w:after="200" w:line="276" w:lineRule="auto"/>
              <w:jc w:val="both"/>
              <w:rPr>
                <w:b/>
                <w:bCs/>
                <w:sz w:val="20"/>
                <w:szCs w:val="20"/>
                <w:lang w:val="it-IT"/>
              </w:rPr>
            </w:pPr>
            <w:r w:rsidRPr="00D16E2B">
              <w:rPr>
                <w:b/>
                <w:sz w:val="20"/>
                <w:szCs w:val="20"/>
                <w:lang w:val="it-IT"/>
              </w:rPr>
              <w:t>Migliorare i livelli di apprendimento degli alunni dell’IC in tutte le discipline</w:t>
            </w:r>
          </w:p>
          <w:p w:rsidR="00D632CD" w:rsidRPr="00D16E2B" w:rsidRDefault="00D632CD">
            <w:pPr>
              <w:spacing w:after="200" w:line="276" w:lineRule="auto"/>
              <w:jc w:val="center"/>
              <w:rPr>
                <w:b/>
                <w:bCs/>
                <w:sz w:val="20"/>
                <w:szCs w:val="20"/>
                <w:lang w:val="it-IT"/>
              </w:rPr>
            </w:pPr>
          </w:p>
        </w:tc>
        <w:tc>
          <w:tcPr>
            <w:tcW w:w="1667" w:type="pct"/>
            <w:tcBorders>
              <w:top w:val="single" w:sz="4" w:space="0" w:color="auto"/>
              <w:left w:val="single" w:sz="4" w:space="0" w:color="auto"/>
              <w:bottom w:val="single" w:sz="4" w:space="0" w:color="auto"/>
              <w:right w:val="single" w:sz="4" w:space="0" w:color="auto"/>
            </w:tcBorders>
            <w:hideMark/>
          </w:tcPr>
          <w:p w:rsidR="00D632CD" w:rsidRPr="00D16E2B" w:rsidRDefault="00D632CD">
            <w:pPr>
              <w:jc w:val="center"/>
              <w:rPr>
                <w:sz w:val="20"/>
                <w:szCs w:val="20"/>
                <w:lang w:val="it-IT"/>
              </w:rPr>
            </w:pPr>
            <w:r w:rsidRPr="00D16E2B">
              <w:rPr>
                <w:b/>
                <w:sz w:val="20"/>
                <w:szCs w:val="20"/>
                <w:lang w:val="it-IT"/>
              </w:rPr>
              <w:t>TRAGUARDI</w:t>
            </w:r>
          </w:p>
        </w:tc>
        <w:tc>
          <w:tcPr>
            <w:tcW w:w="1666" w:type="pct"/>
            <w:tcBorders>
              <w:top w:val="single" w:sz="4" w:space="0" w:color="auto"/>
              <w:left w:val="single" w:sz="4" w:space="0" w:color="auto"/>
              <w:bottom w:val="single" w:sz="4" w:space="0" w:color="auto"/>
              <w:right w:val="single" w:sz="4" w:space="0" w:color="auto"/>
            </w:tcBorders>
            <w:hideMark/>
          </w:tcPr>
          <w:p w:rsidR="00D632CD" w:rsidRPr="00D16E2B" w:rsidRDefault="00D632CD">
            <w:pPr>
              <w:jc w:val="center"/>
              <w:rPr>
                <w:b/>
                <w:sz w:val="20"/>
                <w:szCs w:val="20"/>
                <w:lang w:val="it-IT"/>
              </w:rPr>
            </w:pPr>
            <w:r w:rsidRPr="00D16E2B">
              <w:rPr>
                <w:b/>
                <w:sz w:val="20"/>
                <w:szCs w:val="20"/>
                <w:lang w:val="it-IT"/>
              </w:rPr>
              <w:t>RISULTATI</w:t>
            </w:r>
          </w:p>
        </w:tc>
      </w:tr>
      <w:tr w:rsidR="00D632CD" w:rsidRPr="00D16E2B" w:rsidTr="00887A2D">
        <w:tc>
          <w:tcPr>
            <w:tcW w:w="1667" w:type="pct"/>
            <w:vMerge/>
            <w:tcBorders>
              <w:left w:val="single" w:sz="4" w:space="0" w:color="auto"/>
              <w:right w:val="single" w:sz="4" w:space="0" w:color="auto"/>
            </w:tcBorders>
            <w:vAlign w:val="center"/>
            <w:hideMark/>
          </w:tcPr>
          <w:p w:rsidR="00D632CD" w:rsidRPr="00D16E2B" w:rsidRDefault="00D632CD">
            <w:pPr>
              <w:widowControl/>
              <w:autoSpaceDE/>
              <w:autoSpaceDN/>
              <w:rPr>
                <w:b/>
                <w:bCs/>
                <w:sz w:val="20"/>
                <w:szCs w:val="20"/>
                <w:lang w:val="it-IT"/>
              </w:rPr>
            </w:pPr>
          </w:p>
        </w:tc>
        <w:tc>
          <w:tcPr>
            <w:tcW w:w="1667" w:type="pct"/>
            <w:tcBorders>
              <w:top w:val="single" w:sz="4" w:space="0" w:color="auto"/>
              <w:left w:val="single" w:sz="4" w:space="0" w:color="auto"/>
              <w:bottom w:val="single" w:sz="4" w:space="0" w:color="auto"/>
              <w:right w:val="single" w:sz="4" w:space="0" w:color="auto"/>
            </w:tcBorders>
            <w:hideMark/>
          </w:tcPr>
          <w:p w:rsidR="00D632CD" w:rsidRPr="00D16E2B" w:rsidRDefault="00D632CD">
            <w:pPr>
              <w:contextualSpacing/>
              <w:jc w:val="both"/>
              <w:rPr>
                <w:sz w:val="18"/>
                <w:szCs w:val="18"/>
                <w:lang w:val="it-IT"/>
              </w:rPr>
            </w:pPr>
            <w:r w:rsidRPr="00D16E2B">
              <w:rPr>
                <w:sz w:val="18"/>
                <w:szCs w:val="18"/>
                <w:lang w:val="it-IT"/>
              </w:rPr>
              <w:t>Migliorare i prerequisiti della letto-scrittura e del pensiero logico-matematico nei bambini all'ultimo anno della scuola dell'infanzia</w:t>
            </w:r>
          </w:p>
          <w:p w:rsidR="00D632CD" w:rsidRPr="00D16E2B" w:rsidRDefault="00D632CD">
            <w:pPr>
              <w:contextualSpacing/>
              <w:jc w:val="both"/>
              <w:rPr>
                <w:sz w:val="18"/>
                <w:szCs w:val="18"/>
                <w:lang w:val="it-IT"/>
              </w:rPr>
            </w:pPr>
            <w:r w:rsidRPr="00D16E2B">
              <w:rPr>
                <w:sz w:val="18"/>
                <w:szCs w:val="18"/>
                <w:lang w:val="it-IT"/>
              </w:rPr>
              <w:t>Potenziamento dei prerequisiti di partenza utili all’acquisizione delle abilità strumentali delle bambine/bambini</w:t>
            </w:r>
          </w:p>
        </w:tc>
        <w:tc>
          <w:tcPr>
            <w:tcW w:w="1666" w:type="pct"/>
            <w:tcBorders>
              <w:top w:val="single" w:sz="4" w:space="0" w:color="auto"/>
              <w:left w:val="single" w:sz="4" w:space="0" w:color="auto"/>
              <w:bottom w:val="single" w:sz="4" w:space="0" w:color="auto"/>
              <w:right w:val="single" w:sz="4" w:space="0" w:color="auto"/>
            </w:tcBorders>
            <w:hideMark/>
          </w:tcPr>
          <w:p w:rsidR="00D632CD" w:rsidRPr="00D16E2B" w:rsidRDefault="00D632CD">
            <w:pPr>
              <w:contextualSpacing/>
              <w:jc w:val="both"/>
              <w:rPr>
                <w:sz w:val="18"/>
                <w:szCs w:val="18"/>
                <w:lang w:val="it-IT"/>
              </w:rPr>
            </w:pPr>
            <w:r w:rsidRPr="00D16E2B">
              <w:rPr>
                <w:sz w:val="18"/>
                <w:szCs w:val="18"/>
                <w:lang w:val="it-IT"/>
              </w:rPr>
              <w:t>Rispetto al precedente anno scolastico la percentuale di bambini che ottiene “AVANZATO” nella competenza alfabetica è decisamente aumentata; la percentuale invece per la competenza personale è diminuita. Il livello “IN VIA DI ACQUISIZIONE” è nullo.</w:t>
            </w:r>
          </w:p>
        </w:tc>
      </w:tr>
      <w:tr w:rsidR="00D632CD" w:rsidRPr="00D16E2B" w:rsidTr="00887A2D">
        <w:tc>
          <w:tcPr>
            <w:tcW w:w="1667" w:type="pct"/>
            <w:vMerge/>
            <w:tcBorders>
              <w:left w:val="single" w:sz="4" w:space="0" w:color="auto"/>
              <w:right w:val="single" w:sz="4" w:space="0" w:color="auto"/>
            </w:tcBorders>
            <w:vAlign w:val="center"/>
          </w:tcPr>
          <w:p w:rsidR="00D632CD" w:rsidRPr="00D16E2B" w:rsidRDefault="00D632CD">
            <w:pPr>
              <w:widowControl/>
              <w:autoSpaceDE/>
              <w:autoSpaceDN/>
              <w:rPr>
                <w:b/>
                <w:bCs/>
                <w:sz w:val="20"/>
                <w:szCs w:val="20"/>
                <w:lang w:val="it-IT"/>
              </w:rPr>
            </w:pPr>
          </w:p>
        </w:tc>
        <w:tc>
          <w:tcPr>
            <w:tcW w:w="1667" w:type="pct"/>
            <w:tcBorders>
              <w:top w:val="single" w:sz="4" w:space="0" w:color="auto"/>
              <w:left w:val="single" w:sz="4" w:space="0" w:color="auto"/>
              <w:bottom w:val="single" w:sz="4" w:space="0" w:color="auto"/>
              <w:right w:val="single" w:sz="4" w:space="0" w:color="auto"/>
            </w:tcBorders>
          </w:tcPr>
          <w:p w:rsidR="001A4547" w:rsidRPr="00D16E2B" w:rsidRDefault="001A4547" w:rsidP="001A4547">
            <w:pPr>
              <w:contextualSpacing/>
              <w:jc w:val="both"/>
              <w:rPr>
                <w:sz w:val="18"/>
                <w:szCs w:val="18"/>
                <w:lang w:val="it-IT"/>
              </w:rPr>
            </w:pPr>
            <w:r w:rsidRPr="00D16E2B">
              <w:rPr>
                <w:sz w:val="18"/>
                <w:szCs w:val="18"/>
                <w:lang w:val="it-IT"/>
              </w:rPr>
              <w:t>Riduzione della percentuale del giudizio in fase di prima acquisizione al primo quadrimestre</w:t>
            </w:r>
          </w:p>
          <w:p w:rsidR="001A4547" w:rsidRPr="00D16E2B" w:rsidRDefault="001A4547" w:rsidP="001A4547">
            <w:pPr>
              <w:contextualSpacing/>
              <w:jc w:val="both"/>
              <w:rPr>
                <w:sz w:val="18"/>
                <w:szCs w:val="18"/>
                <w:lang w:val="it-IT"/>
              </w:rPr>
            </w:pPr>
            <w:r w:rsidRPr="00D16E2B">
              <w:rPr>
                <w:sz w:val="18"/>
                <w:szCs w:val="18"/>
                <w:lang w:val="it-IT"/>
              </w:rPr>
              <w:t>Riduzione della percentuale del giudizio base al secondo quadrimestre</w:t>
            </w:r>
          </w:p>
          <w:p w:rsidR="00D632CD" w:rsidRPr="00D16E2B" w:rsidRDefault="001A4547" w:rsidP="001A4547">
            <w:pPr>
              <w:contextualSpacing/>
              <w:jc w:val="both"/>
              <w:rPr>
                <w:sz w:val="18"/>
                <w:szCs w:val="18"/>
                <w:lang w:val="it-IT"/>
              </w:rPr>
            </w:pPr>
            <w:r w:rsidRPr="00D16E2B">
              <w:rPr>
                <w:sz w:val="18"/>
                <w:szCs w:val="18"/>
                <w:lang w:val="it-IT"/>
              </w:rPr>
              <w:t>Riduzione della variabilità dei risultati dei processi di apprendimento tra le classi in termini di competenze acquisite nelle classi parallele</w:t>
            </w:r>
          </w:p>
        </w:tc>
        <w:tc>
          <w:tcPr>
            <w:tcW w:w="1666" w:type="pct"/>
            <w:tcBorders>
              <w:top w:val="single" w:sz="4" w:space="0" w:color="auto"/>
              <w:left w:val="single" w:sz="4" w:space="0" w:color="auto"/>
              <w:bottom w:val="single" w:sz="4" w:space="0" w:color="auto"/>
              <w:right w:val="single" w:sz="4" w:space="0" w:color="auto"/>
            </w:tcBorders>
          </w:tcPr>
          <w:p w:rsidR="0026074F" w:rsidRPr="00D16E2B" w:rsidRDefault="0026074F" w:rsidP="0026074F">
            <w:pPr>
              <w:contextualSpacing/>
              <w:jc w:val="both"/>
              <w:rPr>
                <w:sz w:val="18"/>
                <w:szCs w:val="18"/>
                <w:lang w:val="it-IT"/>
              </w:rPr>
            </w:pPr>
            <w:r w:rsidRPr="00D16E2B">
              <w:rPr>
                <w:sz w:val="18"/>
                <w:szCs w:val="18"/>
                <w:lang w:val="it-IT"/>
              </w:rPr>
              <w:t>Rispetto all’anno scolastico precedente si rileva una minima percentuale del livello in via di prima acquisizione soprattutto in matematica che arriva al 4% al primo quadrimestre.</w:t>
            </w:r>
          </w:p>
          <w:p w:rsidR="0026074F" w:rsidRPr="00D16E2B" w:rsidRDefault="0026074F" w:rsidP="0026074F">
            <w:pPr>
              <w:contextualSpacing/>
              <w:jc w:val="both"/>
              <w:rPr>
                <w:sz w:val="18"/>
                <w:szCs w:val="18"/>
                <w:lang w:val="it-IT"/>
              </w:rPr>
            </w:pPr>
            <w:r w:rsidRPr="00D16E2B">
              <w:rPr>
                <w:sz w:val="18"/>
                <w:szCs w:val="18"/>
                <w:lang w:val="it-IT"/>
              </w:rPr>
              <w:t>Il livello base tra il primo e il secondo quadrimestre si aggira tra il 4% e il 13%.</w:t>
            </w:r>
          </w:p>
          <w:p w:rsidR="00D632CD" w:rsidRPr="00D16E2B" w:rsidRDefault="0026074F" w:rsidP="0026074F">
            <w:pPr>
              <w:contextualSpacing/>
              <w:jc w:val="both"/>
              <w:rPr>
                <w:sz w:val="18"/>
                <w:szCs w:val="18"/>
                <w:lang w:val="it-IT"/>
              </w:rPr>
            </w:pPr>
            <w:r w:rsidRPr="00D16E2B">
              <w:rPr>
                <w:sz w:val="18"/>
                <w:szCs w:val="18"/>
                <w:lang w:val="it-IT"/>
              </w:rPr>
              <w:t>La percentuale del livello base generale tra il primo e il secondo quadrimestre tende ad essere per lo più invariata.</w:t>
            </w:r>
          </w:p>
        </w:tc>
      </w:tr>
      <w:tr w:rsidR="00D632CD" w:rsidRPr="00D16E2B" w:rsidTr="00887A2D">
        <w:tc>
          <w:tcPr>
            <w:tcW w:w="1667" w:type="pct"/>
            <w:vMerge/>
            <w:tcBorders>
              <w:left w:val="single" w:sz="4" w:space="0" w:color="auto"/>
              <w:bottom w:val="single" w:sz="4" w:space="0" w:color="auto"/>
              <w:right w:val="single" w:sz="4" w:space="0" w:color="auto"/>
            </w:tcBorders>
            <w:vAlign w:val="center"/>
          </w:tcPr>
          <w:p w:rsidR="00D632CD" w:rsidRPr="00D16E2B" w:rsidRDefault="00D632CD">
            <w:pPr>
              <w:widowControl/>
              <w:autoSpaceDE/>
              <w:autoSpaceDN/>
              <w:rPr>
                <w:b/>
                <w:bCs/>
                <w:sz w:val="20"/>
                <w:szCs w:val="20"/>
                <w:lang w:val="it-IT"/>
              </w:rPr>
            </w:pPr>
          </w:p>
        </w:tc>
        <w:tc>
          <w:tcPr>
            <w:tcW w:w="1667" w:type="pct"/>
            <w:tcBorders>
              <w:top w:val="single" w:sz="4" w:space="0" w:color="auto"/>
              <w:left w:val="single" w:sz="4" w:space="0" w:color="auto"/>
              <w:bottom w:val="single" w:sz="4" w:space="0" w:color="auto"/>
              <w:right w:val="single" w:sz="4" w:space="0" w:color="auto"/>
            </w:tcBorders>
          </w:tcPr>
          <w:p w:rsidR="00CF1A22" w:rsidRPr="00D16E2B" w:rsidRDefault="00CF1A22" w:rsidP="00CF1A22">
            <w:pPr>
              <w:contextualSpacing/>
              <w:jc w:val="both"/>
              <w:rPr>
                <w:sz w:val="18"/>
                <w:szCs w:val="18"/>
                <w:lang w:val="it-IT"/>
              </w:rPr>
            </w:pPr>
            <w:r w:rsidRPr="00D16E2B">
              <w:rPr>
                <w:sz w:val="18"/>
                <w:szCs w:val="18"/>
                <w:lang w:val="it-IT"/>
              </w:rPr>
              <w:t>Riduzione della percentuale delle insufficienze in tutte le discipline per gli alunni di scuola secondaria di I grado e conseguente potenziamento della fascia media</w:t>
            </w:r>
          </w:p>
          <w:p w:rsidR="00D632CD" w:rsidRPr="00D16E2B" w:rsidRDefault="00CF1A22" w:rsidP="00CF1A22">
            <w:pPr>
              <w:contextualSpacing/>
              <w:jc w:val="both"/>
              <w:rPr>
                <w:sz w:val="20"/>
                <w:szCs w:val="20"/>
                <w:lang w:val="it-IT"/>
              </w:rPr>
            </w:pPr>
            <w:r w:rsidRPr="00D16E2B">
              <w:rPr>
                <w:sz w:val="18"/>
                <w:szCs w:val="18"/>
                <w:lang w:val="it-IT"/>
              </w:rPr>
              <w:t>Diminuzione della percentuale dei voti 6/7 conseguiti all’Esame di stato e riallineamento con quella della fascia 9/10</w:t>
            </w:r>
          </w:p>
        </w:tc>
        <w:tc>
          <w:tcPr>
            <w:tcW w:w="1666" w:type="pct"/>
            <w:tcBorders>
              <w:top w:val="single" w:sz="4" w:space="0" w:color="auto"/>
              <w:left w:val="single" w:sz="4" w:space="0" w:color="auto"/>
              <w:bottom w:val="single" w:sz="4" w:space="0" w:color="auto"/>
              <w:right w:val="single" w:sz="4" w:space="0" w:color="auto"/>
            </w:tcBorders>
          </w:tcPr>
          <w:p w:rsidR="00D272C6" w:rsidRPr="00D16E2B" w:rsidRDefault="00D272C6" w:rsidP="00D272C6">
            <w:pPr>
              <w:contextualSpacing/>
              <w:jc w:val="both"/>
              <w:rPr>
                <w:sz w:val="18"/>
                <w:szCs w:val="18"/>
                <w:lang w:val="it-IT"/>
              </w:rPr>
            </w:pPr>
            <w:r w:rsidRPr="00D16E2B">
              <w:rPr>
                <w:sz w:val="18"/>
                <w:szCs w:val="18"/>
                <w:lang w:val="it-IT"/>
              </w:rPr>
              <w:t>Nelle classi prime si evidenzia un incremento delle insufficienze complessive, seppure di pochi punti percentuale, per inglese, francese, matematica.</w:t>
            </w:r>
          </w:p>
          <w:p w:rsidR="00D272C6" w:rsidRPr="00D16E2B" w:rsidRDefault="00D272C6" w:rsidP="00D272C6">
            <w:pPr>
              <w:contextualSpacing/>
              <w:jc w:val="both"/>
              <w:rPr>
                <w:sz w:val="18"/>
                <w:szCs w:val="18"/>
                <w:lang w:val="it-IT"/>
              </w:rPr>
            </w:pPr>
            <w:r w:rsidRPr="00D16E2B">
              <w:rPr>
                <w:sz w:val="18"/>
                <w:szCs w:val="18"/>
                <w:lang w:val="it-IT"/>
              </w:rPr>
              <w:t>Nelle classi seconde le insufficienze diminuiscono in tutte le discipline, eccetto che per inglese dove si nota un leggero peggioramento</w:t>
            </w:r>
          </w:p>
          <w:p w:rsidR="00D272C6" w:rsidRPr="00D16E2B" w:rsidRDefault="00D272C6" w:rsidP="00D272C6">
            <w:pPr>
              <w:contextualSpacing/>
              <w:jc w:val="both"/>
              <w:rPr>
                <w:sz w:val="18"/>
                <w:szCs w:val="18"/>
                <w:lang w:val="it-IT"/>
              </w:rPr>
            </w:pPr>
            <w:r w:rsidRPr="00D16E2B">
              <w:rPr>
                <w:sz w:val="18"/>
                <w:szCs w:val="18"/>
                <w:lang w:val="it-IT"/>
              </w:rPr>
              <w:t>Le insufficienze per le classi terze diminuiscono in tutte le materia eccetto che in matematica e tecnologia per le quali rimangono circa costanti; aumentano considerevolmente le valutazioni della fascia 9-10 per italiano ed inglese, mentre per le altre materia rimangono generalmente costanti o in leggera flessione.</w:t>
            </w:r>
          </w:p>
          <w:p w:rsidR="00D272C6" w:rsidRPr="00D16E2B" w:rsidRDefault="00D272C6" w:rsidP="00D272C6">
            <w:pPr>
              <w:contextualSpacing/>
              <w:jc w:val="both"/>
              <w:rPr>
                <w:sz w:val="18"/>
                <w:szCs w:val="18"/>
                <w:lang w:val="it-IT"/>
              </w:rPr>
            </w:pPr>
            <w:r w:rsidRPr="00D16E2B">
              <w:rPr>
                <w:sz w:val="18"/>
                <w:szCs w:val="18"/>
                <w:lang w:val="it-IT"/>
              </w:rPr>
              <w:t>Tra primo e secondo quadrimestre, si evidenzia una</w:t>
            </w:r>
          </w:p>
          <w:p w:rsidR="00D272C6" w:rsidRPr="00D16E2B" w:rsidRDefault="00D272C6" w:rsidP="00D272C6">
            <w:pPr>
              <w:contextualSpacing/>
              <w:jc w:val="both"/>
              <w:rPr>
                <w:sz w:val="18"/>
                <w:szCs w:val="18"/>
                <w:lang w:val="it-IT"/>
              </w:rPr>
            </w:pPr>
            <w:r w:rsidRPr="00D16E2B">
              <w:rPr>
                <w:sz w:val="18"/>
                <w:szCs w:val="18"/>
                <w:lang w:val="it-IT"/>
              </w:rPr>
              <w:t>drastica diminuzione delle insufficienze, che tendono quasi a scomparire ed un aumento delle valutazioni</w:t>
            </w:r>
          </w:p>
          <w:p w:rsidR="00D632CD" w:rsidRPr="00D16E2B" w:rsidRDefault="00D272C6" w:rsidP="00D272C6">
            <w:pPr>
              <w:contextualSpacing/>
              <w:jc w:val="both"/>
              <w:rPr>
                <w:sz w:val="20"/>
                <w:szCs w:val="20"/>
                <w:lang w:val="it-IT"/>
              </w:rPr>
            </w:pPr>
            <w:r w:rsidRPr="00D16E2B">
              <w:rPr>
                <w:sz w:val="18"/>
                <w:szCs w:val="18"/>
                <w:lang w:val="it-IT"/>
              </w:rPr>
              <w:t>della fascia 9-10.</w:t>
            </w:r>
          </w:p>
        </w:tc>
      </w:tr>
    </w:tbl>
    <w:p w:rsidR="00D632CD" w:rsidRPr="00D16E2B" w:rsidRDefault="00D632CD" w:rsidP="00DB2153">
      <w:pPr>
        <w:jc w:val="both"/>
        <w:rPr>
          <w:sz w:val="18"/>
          <w:szCs w:val="18"/>
          <w:lang w:val="it-IT"/>
        </w:rPr>
      </w:pPr>
    </w:p>
    <w:p w:rsidR="00D632CD" w:rsidRPr="00D16E2B" w:rsidRDefault="00D632CD" w:rsidP="00DB2153">
      <w:pPr>
        <w:jc w:val="both"/>
        <w:rPr>
          <w:sz w:val="18"/>
          <w:szCs w:val="18"/>
          <w:lang w:val="it-IT"/>
        </w:rPr>
      </w:pPr>
    </w:p>
    <w:p w:rsidR="00D632CD" w:rsidRPr="00D16E2B" w:rsidRDefault="00D632CD" w:rsidP="00DB2153">
      <w:pPr>
        <w:jc w:val="both"/>
        <w:rPr>
          <w:sz w:val="18"/>
          <w:szCs w:val="18"/>
          <w:lang w:val="it-IT"/>
        </w:rPr>
      </w:pPr>
    </w:p>
    <w:p w:rsidR="00887A2D" w:rsidRPr="00D16E2B" w:rsidRDefault="00887A2D" w:rsidP="00DB2153">
      <w:pPr>
        <w:jc w:val="both"/>
        <w:rPr>
          <w:sz w:val="18"/>
          <w:szCs w:val="18"/>
          <w:lang w:val="it-IT"/>
        </w:rPr>
        <w:sectPr w:rsidR="00887A2D" w:rsidRPr="00D16E2B" w:rsidSect="00887A2D">
          <w:footerReference w:type="default" r:id="rId13"/>
          <w:pgSz w:w="16838" w:h="11906" w:orient="landscape"/>
          <w:pgMar w:top="1134" w:right="1417" w:bottom="1134" w:left="1134" w:header="708" w:footer="708" w:gutter="0"/>
          <w:cols w:space="708"/>
          <w:docGrid w:linePitch="360"/>
        </w:sectPr>
      </w:pPr>
    </w:p>
    <w:p w:rsidR="00D632CD" w:rsidRPr="00D16E2B" w:rsidRDefault="00D632CD" w:rsidP="00DB2153">
      <w:pPr>
        <w:jc w:val="both"/>
        <w:rPr>
          <w:sz w:val="18"/>
          <w:szCs w:val="18"/>
          <w:lang w:val="it-IT"/>
        </w:rPr>
      </w:pP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center"/>
        <w:rPr>
          <w:b/>
          <w:sz w:val="18"/>
          <w:szCs w:val="18"/>
          <w:lang w:val="it-IT"/>
        </w:rPr>
      </w:pPr>
      <w:r w:rsidRPr="00D16E2B">
        <w:rPr>
          <w:b/>
          <w:sz w:val="18"/>
          <w:szCs w:val="18"/>
          <w:lang w:val="it-IT"/>
        </w:rPr>
        <w:t xml:space="preserve">RIESAME DELLA DIREZIONE </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Effettuato il 20/06/2024</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Persone presenti: STAFF</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b/>
          <w:sz w:val="18"/>
          <w:szCs w:val="18"/>
          <w:lang w:val="it-IT"/>
        </w:rPr>
      </w:pPr>
      <w:r w:rsidRPr="00D16E2B">
        <w:rPr>
          <w:b/>
          <w:sz w:val="18"/>
          <w:szCs w:val="18"/>
          <w:lang w:val="it-IT"/>
        </w:rPr>
        <w:t>ASPETTI CONSIDERATI</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 xml:space="preserve">risultati   </w:t>
      </w:r>
      <w:r w:rsidR="00AA0B96" w:rsidRPr="00D16E2B">
        <w:rPr>
          <w:b/>
          <w:sz w:val="18"/>
          <w:szCs w:val="18"/>
          <w:lang w:val="it-IT"/>
        </w:rPr>
        <w:t>per l’intero Istituto comprensivo</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processi</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organizzazione</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b/>
          <w:sz w:val="18"/>
          <w:szCs w:val="18"/>
          <w:lang w:val="it-IT"/>
        </w:rPr>
      </w:pPr>
      <w:r w:rsidRPr="00D16E2B">
        <w:rPr>
          <w:b/>
          <w:sz w:val="18"/>
          <w:szCs w:val="18"/>
          <w:lang w:val="it-IT"/>
        </w:rPr>
        <w:t>INDICATORI E OBIETTIVI ESAMINATI</w:t>
      </w:r>
    </w:p>
    <w:p w:rsidR="00704437" w:rsidRPr="00D16E2B" w:rsidRDefault="00704437" w:rsidP="00704437">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 xml:space="preserve">Percentuale livelli per le bambine/bambini di sezione 5 per le competenze afferenti ai traguardi giugno (certificazione delle competenze) </w:t>
      </w:r>
      <w:r w:rsidRPr="00D16E2B">
        <w:rPr>
          <w:b/>
          <w:sz w:val="18"/>
          <w:szCs w:val="18"/>
          <w:lang w:val="it-IT"/>
        </w:rPr>
        <w:t>scuola d’Infanzia</w:t>
      </w:r>
    </w:p>
    <w:p w:rsidR="00D1470E" w:rsidRPr="00D16E2B" w:rsidRDefault="00D1470E"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 xml:space="preserve">Risultati prove concordate al I e II quadrimestre, risultati prove concordate generali al I e II quadrimestre, risultati prove generali al I e II quadrimestre </w:t>
      </w:r>
      <w:r w:rsidRPr="00D16E2B">
        <w:rPr>
          <w:b/>
          <w:sz w:val="18"/>
          <w:szCs w:val="18"/>
          <w:lang w:val="it-IT"/>
        </w:rPr>
        <w:t>nella scuola primaria</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 xml:space="preserve">Percentuali insufficienze per classi e totali delle votazioni conseguite negli </w:t>
      </w:r>
      <w:r w:rsidR="00795335" w:rsidRPr="00D16E2B">
        <w:rPr>
          <w:sz w:val="18"/>
          <w:szCs w:val="18"/>
          <w:lang w:val="it-IT"/>
        </w:rPr>
        <w:t>scrutini</w:t>
      </w:r>
      <w:r w:rsidRPr="00D16E2B">
        <w:rPr>
          <w:sz w:val="18"/>
          <w:szCs w:val="18"/>
          <w:lang w:val="it-IT"/>
        </w:rPr>
        <w:t xml:space="preserve"> e nelle prove concordate</w:t>
      </w:r>
      <w:r w:rsidR="00D1470E" w:rsidRPr="00D16E2B">
        <w:rPr>
          <w:sz w:val="18"/>
          <w:szCs w:val="18"/>
          <w:lang w:val="it-IT"/>
        </w:rPr>
        <w:t xml:space="preserve">, </w:t>
      </w:r>
      <w:r w:rsidR="006A2BAE" w:rsidRPr="00D16E2B">
        <w:rPr>
          <w:sz w:val="18"/>
          <w:szCs w:val="18"/>
          <w:lang w:val="it-IT"/>
        </w:rPr>
        <w:t>percentuale degli alunni che conseguono 7/8 nelle prove con</w:t>
      </w:r>
      <w:r w:rsidR="00620D41" w:rsidRPr="00D16E2B">
        <w:rPr>
          <w:sz w:val="18"/>
          <w:szCs w:val="18"/>
          <w:lang w:val="it-IT"/>
        </w:rPr>
        <w:t>cordate del secondo quadrimestre</w:t>
      </w:r>
      <w:r w:rsidR="00704437" w:rsidRPr="00D16E2B">
        <w:rPr>
          <w:sz w:val="18"/>
          <w:szCs w:val="18"/>
          <w:lang w:val="it-IT"/>
        </w:rPr>
        <w:t xml:space="preserve"> nella </w:t>
      </w:r>
      <w:r w:rsidR="00704437" w:rsidRPr="00D16E2B">
        <w:rPr>
          <w:b/>
          <w:sz w:val="18"/>
          <w:szCs w:val="18"/>
          <w:lang w:val="it-IT"/>
        </w:rPr>
        <w:t>scuola secondaria di I grado</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b/>
          <w:sz w:val="18"/>
          <w:szCs w:val="18"/>
          <w:lang w:val="it-IT"/>
        </w:rPr>
      </w:pPr>
      <w:r w:rsidRPr="00D16E2B">
        <w:rPr>
          <w:b/>
          <w:sz w:val="18"/>
          <w:szCs w:val="18"/>
          <w:lang w:val="it-IT"/>
        </w:rPr>
        <w:t>RISULTATI RAGGIUNTI IN RAPPORTO AGLI OBIETTIVI DEL PDM</w:t>
      </w:r>
    </w:p>
    <w:p w:rsidR="00DB2153" w:rsidRPr="00D16E2B" w:rsidRDefault="00D25105" w:rsidP="00DB2153">
      <w:pPr>
        <w:pBdr>
          <w:top w:val="single" w:sz="4" w:space="1" w:color="auto"/>
          <w:left w:val="single" w:sz="4" w:space="1" w:color="auto"/>
          <w:bottom w:val="single" w:sz="4" w:space="1" w:color="auto"/>
          <w:right w:val="single" w:sz="4" w:space="1" w:color="auto"/>
          <w:between w:val="single" w:sz="4" w:space="1" w:color="auto"/>
        </w:pBdr>
        <w:jc w:val="both"/>
        <w:rPr>
          <w:b/>
          <w:sz w:val="18"/>
          <w:szCs w:val="18"/>
          <w:lang w:val="it-IT"/>
        </w:rPr>
      </w:pPr>
      <w:r w:rsidRPr="00D16E2B">
        <w:rPr>
          <w:sz w:val="18"/>
          <w:szCs w:val="18"/>
          <w:lang w:val="it-IT"/>
        </w:rPr>
        <w:t>La percentuale</w:t>
      </w:r>
      <w:r w:rsidRPr="00D16E2B">
        <w:rPr>
          <w:sz w:val="20"/>
          <w:szCs w:val="20"/>
          <w:lang w:val="it-IT"/>
        </w:rPr>
        <w:t xml:space="preserve"> di bambini che ottiene “AVANZATO” nella competenza alfabetica è aumentata; la percentuale invece per la competenza personale è diminuita passando dal 60% al 56%. Il livello “IN VIA DI ACQUISIZIONE” è nullo.</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b/>
          <w:sz w:val="18"/>
          <w:szCs w:val="18"/>
          <w:lang w:val="it-IT"/>
        </w:rPr>
      </w:pPr>
      <w:r w:rsidRPr="00D16E2B">
        <w:rPr>
          <w:b/>
          <w:sz w:val="18"/>
          <w:szCs w:val="18"/>
          <w:lang w:val="it-IT"/>
        </w:rPr>
        <w:t>SCUOLA PRIMARIA</w:t>
      </w:r>
    </w:p>
    <w:p w:rsidR="00DB2153" w:rsidRPr="00D16E2B" w:rsidRDefault="009027B4"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La diminuzione del livello AVANZATO e l’aumento della percentuale degli altri livelli portano a una riconsiderazione degli obiettivi e a un intervento più mirato per migliorare i livelli di apprendimento degli alunni perseguendo il consolidamento di competenze ed abilità nelle attività curricolari.</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b/>
          <w:sz w:val="18"/>
          <w:szCs w:val="18"/>
          <w:lang w:val="it-IT"/>
        </w:rPr>
      </w:pPr>
      <w:r w:rsidRPr="00D16E2B">
        <w:rPr>
          <w:b/>
          <w:sz w:val="18"/>
          <w:szCs w:val="18"/>
          <w:lang w:val="it-IT"/>
        </w:rPr>
        <w:t>SCUOLA SECONDARIA DI I GRADO</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 xml:space="preserve">Nelle classi prime i voti della fascia 9-10 </w:t>
      </w:r>
      <w:r w:rsidR="00DC628C" w:rsidRPr="00D16E2B">
        <w:rPr>
          <w:sz w:val="18"/>
          <w:szCs w:val="18"/>
          <w:lang w:val="it-IT"/>
        </w:rPr>
        <w:t xml:space="preserve">nelle prove concordate del primo quadrimestre </w:t>
      </w:r>
      <w:r w:rsidRPr="00D16E2B">
        <w:rPr>
          <w:sz w:val="18"/>
          <w:szCs w:val="18"/>
          <w:lang w:val="it-IT"/>
        </w:rPr>
        <w:t>aumentano leggermente per alcune discipline, ma si nota anche un incremento delle insufficienze complessive, seppure di pochi punti percentuale, per inglese, francese, matematica. Un andamento analogo era stato osservato anche nello scorso anno, ed è probabilmente da attribuire alla maggiore complessità dei programmi disciplinari nell’arco del secondo quadrimestre.</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 xml:space="preserve">Per le classi seconde, </w:t>
      </w:r>
      <w:r w:rsidR="00AC2D7F" w:rsidRPr="00D16E2B">
        <w:rPr>
          <w:sz w:val="18"/>
          <w:szCs w:val="18"/>
          <w:lang w:val="it-IT"/>
        </w:rPr>
        <w:t xml:space="preserve">per quanto riguarda le prove concordate, </w:t>
      </w:r>
      <w:r w:rsidRPr="00D16E2B">
        <w:rPr>
          <w:sz w:val="18"/>
          <w:szCs w:val="18"/>
          <w:lang w:val="it-IT"/>
        </w:rPr>
        <w:t>tra primo e secondo quadrimestre si nota un importante incremento dei voti della fascia 9-10 in particolare per italiano, inglese, francese, matematica, le insufficienze diminuiscono in tutte le discipline, eccetto che per inglese dove si nota un leggero peggioramento</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 xml:space="preserve">Nelle classi terze le insufficienze </w:t>
      </w:r>
      <w:r w:rsidR="00196942" w:rsidRPr="00D16E2B">
        <w:rPr>
          <w:sz w:val="18"/>
          <w:szCs w:val="18"/>
          <w:lang w:val="it-IT"/>
        </w:rPr>
        <w:t xml:space="preserve">nelle prove concordate </w:t>
      </w:r>
      <w:r w:rsidRPr="00D16E2B">
        <w:rPr>
          <w:sz w:val="18"/>
          <w:szCs w:val="18"/>
          <w:lang w:val="it-IT"/>
        </w:rPr>
        <w:t>diminuiscono in tutte le materia eccetto che in matematica e tecnologia per le quali rimangono circa costanti; aumentano considerevolmente le valutazioni della fascia 9-10 per italiano ed inglese, mentre per le altre materia rimangono generalmente costanti o in leggera flessione.</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Analizzando le tabelle relative agli esiti quadrimestrali, si nota, tra primo e secondo quadrimestre, una drastica diminuzione delle insufficienze, che tendono quasi a scomparire, e un aumento delle valutazioni della fascia 9-10.</w:t>
      </w:r>
    </w:p>
    <w:p w:rsidR="003A63FD" w:rsidRPr="00D16E2B" w:rsidRDefault="003A63FD" w:rsidP="003A63FD">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bCs/>
          <w:sz w:val="18"/>
          <w:szCs w:val="18"/>
          <w:lang w:val="it-IT"/>
        </w:rPr>
        <w:t xml:space="preserve">Le </w:t>
      </w:r>
      <w:r w:rsidRPr="00D16E2B">
        <w:rPr>
          <w:sz w:val="18"/>
          <w:szCs w:val="18"/>
          <w:lang w:val="it-IT"/>
        </w:rPr>
        <w:t>percentuali degli alunni con voto sei, otto, nove e dieci sono diminuite, mentre è aumentata quella</w:t>
      </w:r>
      <w:r w:rsidR="00D16E2B">
        <w:rPr>
          <w:sz w:val="18"/>
          <w:szCs w:val="18"/>
          <w:lang w:val="it-IT"/>
        </w:rPr>
        <w:t xml:space="preserve"> relati</w:t>
      </w:r>
      <w:bookmarkStart w:id="0" w:name="_GoBack"/>
      <w:bookmarkEnd w:id="0"/>
      <w:r w:rsidRPr="00D16E2B">
        <w:rPr>
          <w:sz w:val="18"/>
          <w:szCs w:val="18"/>
          <w:lang w:val="it-IT"/>
        </w:rPr>
        <w:t>va al dieci e lode.</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DECISIONE PRESE</w:t>
      </w:r>
    </w:p>
    <w:p w:rsidR="00B551AB" w:rsidRPr="00D16E2B" w:rsidRDefault="00B551AB" w:rsidP="00B551AB">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Poiché si è riscontrato nella primaria una percentuale di alunni in “via di acquisizione” si ritiene necessario progettare progetti per consolidare conoscenze ed abilità soprattutto in matematica per ridurre tale percentuale e per diminuire la percentuale del livello “base”</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Occorre insistere nella progettazione di percorsi per il recupero e consolidamento delle abilità di base in italiano, matematica ed inglese</w:t>
      </w:r>
      <w:r w:rsidR="00B551AB" w:rsidRPr="00D16E2B">
        <w:rPr>
          <w:sz w:val="18"/>
          <w:szCs w:val="18"/>
          <w:lang w:val="it-IT"/>
        </w:rPr>
        <w:t xml:space="preserve"> nella secondaria di I grado</w:t>
      </w:r>
      <w:r w:rsidRPr="00D16E2B">
        <w:rPr>
          <w:sz w:val="18"/>
          <w:szCs w:val="18"/>
          <w:lang w:val="it-IT"/>
        </w:rPr>
        <w:t>.</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b/>
          <w:sz w:val="18"/>
          <w:szCs w:val="18"/>
          <w:lang w:val="it-IT"/>
        </w:rPr>
      </w:pPr>
      <w:r w:rsidRPr="00D16E2B">
        <w:rPr>
          <w:b/>
          <w:sz w:val="18"/>
          <w:szCs w:val="18"/>
          <w:lang w:val="it-IT"/>
        </w:rPr>
        <w:t>DOCUMENTAZIONE</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Relazione annuale sui risultati scolas</w:t>
      </w:r>
      <w:r w:rsidR="00E30463" w:rsidRPr="00D16E2B">
        <w:rPr>
          <w:sz w:val="18"/>
          <w:szCs w:val="18"/>
          <w:lang w:val="it-IT"/>
        </w:rPr>
        <w:t>tici della scuola primaria</w:t>
      </w:r>
      <w:r w:rsidRPr="00D16E2B">
        <w:rPr>
          <w:sz w:val="18"/>
          <w:szCs w:val="18"/>
          <w:lang w:val="it-IT"/>
        </w:rPr>
        <w:t xml:space="preserve"> a.</w:t>
      </w:r>
      <w:r w:rsidR="00E30463" w:rsidRPr="00D16E2B">
        <w:rPr>
          <w:sz w:val="18"/>
          <w:szCs w:val="18"/>
          <w:lang w:val="it-IT"/>
        </w:rPr>
        <w:t xml:space="preserve">s.23/24 della docente </w:t>
      </w:r>
      <w:proofErr w:type="spellStart"/>
      <w:r w:rsidR="00E30463" w:rsidRPr="00D16E2B">
        <w:rPr>
          <w:sz w:val="18"/>
          <w:szCs w:val="18"/>
          <w:lang w:val="it-IT"/>
        </w:rPr>
        <w:t>Peluso</w:t>
      </w:r>
      <w:proofErr w:type="spellEnd"/>
    </w:p>
    <w:p w:rsidR="00E30463" w:rsidRPr="00D16E2B" w:rsidRDefault="00E3046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Relazione annuale sui risultati scolastici della secondaria di I grado a.s.23/24 della prof.ssa Antinucci</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 xml:space="preserve">Report </w:t>
      </w:r>
      <w:r w:rsidR="000A618F" w:rsidRPr="00D16E2B">
        <w:rPr>
          <w:sz w:val="18"/>
          <w:szCs w:val="18"/>
          <w:lang w:val="it-IT"/>
        </w:rPr>
        <w:t>sintetico</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b/>
          <w:sz w:val="18"/>
          <w:szCs w:val="18"/>
          <w:lang w:val="it-IT"/>
        </w:rPr>
      </w:pPr>
      <w:r w:rsidRPr="00D16E2B">
        <w:rPr>
          <w:b/>
          <w:sz w:val="18"/>
          <w:szCs w:val="18"/>
          <w:lang w:val="it-IT"/>
        </w:rPr>
        <w:t xml:space="preserve">MODALITÀ DI COMUNICAZIONE </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Comunicazione al Collegio dei docenti del referente alla valutazione</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b/>
          <w:sz w:val="18"/>
          <w:szCs w:val="18"/>
          <w:lang w:val="it-IT"/>
        </w:rPr>
      </w:pPr>
      <w:r w:rsidRPr="00D16E2B">
        <w:rPr>
          <w:b/>
          <w:sz w:val="18"/>
          <w:szCs w:val="18"/>
          <w:lang w:val="it-IT"/>
        </w:rPr>
        <w:t>EVENTUALE COINVOLGIMENTO OOCC E PARTI INTERESSATE</w:t>
      </w:r>
    </w:p>
    <w:p w:rsidR="00DB2153" w:rsidRPr="00D16E2B" w:rsidRDefault="00DB2153" w:rsidP="00DB2153">
      <w:pPr>
        <w:pBdr>
          <w:top w:val="single" w:sz="4" w:space="1" w:color="auto"/>
          <w:left w:val="single" w:sz="4" w:space="1" w:color="auto"/>
          <w:bottom w:val="single" w:sz="4" w:space="1" w:color="auto"/>
          <w:right w:val="single" w:sz="4" w:space="1" w:color="auto"/>
          <w:between w:val="single" w:sz="4" w:space="1" w:color="auto"/>
        </w:pBdr>
        <w:jc w:val="both"/>
        <w:rPr>
          <w:sz w:val="18"/>
          <w:szCs w:val="18"/>
          <w:lang w:val="it-IT"/>
        </w:rPr>
      </w:pPr>
      <w:r w:rsidRPr="00D16E2B">
        <w:rPr>
          <w:sz w:val="18"/>
          <w:szCs w:val="18"/>
          <w:lang w:val="it-IT"/>
        </w:rPr>
        <w:t>Dipartimenti disciplinari e consigli di classe: il docente responsabile dei risultati scolastici elabora grafici per classi e sezioni</w:t>
      </w:r>
    </w:p>
    <w:p w:rsidR="00DB2153" w:rsidRPr="00D16E2B" w:rsidRDefault="00DB2153" w:rsidP="00DB2153">
      <w:pPr>
        <w:jc w:val="both"/>
        <w:rPr>
          <w:sz w:val="18"/>
          <w:szCs w:val="18"/>
          <w:lang w:val="it-IT"/>
        </w:rPr>
      </w:pPr>
    </w:p>
    <w:p w:rsidR="00DB2153" w:rsidRPr="00D16E2B" w:rsidRDefault="00DB2153" w:rsidP="00DB2153">
      <w:pPr>
        <w:jc w:val="both"/>
        <w:rPr>
          <w:sz w:val="18"/>
          <w:szCs w:val="18"/>
          <w:lang w:val="it-IT"/>
        </w:rPr>
      </w:pPr>
      <w:r w:rsidRPr="00D16E2B">
        <w:rPr>
          <w:sz w:val="18"/>
          <w:szCs w:val="18"/>
          <w:lang w:val="it-IT"/>
        </w:rPr>
        <w:t>Baronissi, 20/06/2024</w:t>
      </w:r>
    </w:p>
    <w:p w:rsidR="00DB2153" w:rsidRPr="00D16E2B" w:rsidRDefault="00FE19DA" w:rsidP="00DB2153">
      <w:pPr>
        <w:jc w:val="right"/>
        <w:rPr>
          <w:sz w:val="18"/>
          <w:szCs w:val="18"/>
          <w:lang w:val="it-IT"/>
        </w:rPr>
      </w:pPr>
      <w:r w:rsidRPr="00D16E2B">
        <w:rPr>
          <w:sz w:val="18"/>
          <w:szCs w:val="18"/>
          <w:lang w:val="it-IT"/>
        </w:rPr>
        <w:t>In fede</w:t>
      </w:r>
    </w:p>
    <w:p w:rsidR="00FE19DA" w:rsidRPr="00D16E2B" w:rsidRDefault="00FE19DA" w:rsidP="00DB2153">
      <w:pPr>
        <w:jc w:val="right"/>
        <w:rPr>
          <w:sz w:val="18"/>
          <w:szCs w:val="18"/>
          <w:lang w:val="it-IT"/>
        </w:rPr>
      </w:pPr>
      <w:r w:rsidRPr="00D16E2B">
        <w:rPr>
          <w:sz w:val="18"/>
          <w:szCs w:val="18"/>
          <w:lang w:val="it-IT"/>
        </w:rPr>
        <w:t>Clara Petrone</w:t>
      </w:r>
    </w:p>
    <w:p w:rsidR="0072791E" w:rsidRPr="00D16E2B" w:rsidRDefault="0072791E">
      <w:pPr>
        <w:rPr>
          <w:lang w:val="it-IT"/>
        </w:rPr>
      </w:pPr>
    </w:p>
    <w:sectPr w:rsidR="0072791E" w:rsidRPr="00D16E2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1E63" w:rsidRDefault="009B1E63" w:rsidP="004B58EB">
      <w:r>
        <w:separator/>
      </w:r>
    </w:p>
  </w:endnote>
  <w:endnote w:type="continuationSeparator" w:id="0">
    <w:p w:rsidR="009B1E63" w:rsidRDefault="009B1E63" w:rsidP="004B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8EB" w:rsidRDefault="004B58EB">
    <w:pPr>
      <w:pStyle w:val="Pidipagina"/>
    </w:pPr>
    <w:r>
      <w:t>A.S.2023/24</w:t>
    </w:r>
  </w:p>
  <w:p w:rsidR="004B58EB" w:rsidRDefault="004B58EB">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1E63" w:rsidRDefault="009B1E63" w:rsidP="004B58EB">
      <w:r>
        <w:separator/>
      </w:r>
    </w:p>
  </w:footnote>
  <w:footnote w:type="continuationSeparator" w:id="0">
    <w:p w:rsidR="009B1E63" w:rsidRDefault="009B1E63" w:rsidP="004B5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6D"/>
    <w:rsid w:val="00016CB7"/>
    <w:rsid w:val="0003503F"/>
    <w:rsid w:val="000710C6"/>
    <w:rsid w:val="000A618F"/>
    <w:rsid w:val="000E7982"/>
    <w:rsid w:val="00196942"/>
    <w:rsid w:val="001A4547"/>
    <w:rsid w:val="0026074F"/>
    <w:rsid w:val="003A63FD"/>
    <w:rsid w:val="004B58EB"/>
    <w:rsid w:val="00620D41"/>
    <w:rsid w:val="006A2BAE"/>
    <w:rsid w:val="00704437"/>
    <w:rsid w:val="0072791E"/>
    <w:rsid w:val="00795335"/>
    <w:rsid w:val="008506A1"/>
    <w:rsid w:val="0085208F"/>
    <w:rsid w:val="00887A2D"/>
    <w:rsid w:val="009027B4"/>
    <w:rsid w:val="00911B01"/>
    <w:rsid w:val="0096245D"/>
    <w:rsid w:val="009B1E63"/>
    <w:rsid w:val="00A42728"/>
    <w:rsid w:val="00AA0B96"/>
    <w:rsid w:val="00AC2D7F"/>
    <w:rsid w:val="00B551AB"/>
    <w:rsid w:val="00C82EBC"/>
    <w:rsid w:val="00CF1A22"/>
    <w:rsid w:val="00D1470E"/>
    <w:rsid w:val="00D16E2B"/>
    <w:rsid w:val="00D25105"/>
    <w:rsid w:val="00D272C6"/>
    <w:rsid w:val="00D632CD"/>
    <w:rsid w:val="00DB2153"/>
    <w:rsid w:val="00DC628C"/>
    <w:rsid w:val="00DD43FB"/>
    <w:rsid w:val="00E30463"/>
    <w:rsid w:val="00E96B5F"/>
    <w:rsid w:val="00F6586D"/>
    <w:rsid w:val="00FE18EB"/>
    <w:rsid w:val="00FE19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DC921"/>
  <w15:chartTrackingRefBased/>
  <w15:docId w15:val="{829FAAF8-5BBD-480E-88F6-046361586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DB2153"/>
    <w:pPr>
      <w:widowControl w:val="0"/>
      <w:autoSpaceDE w:val="0"/>
      <w:autoSpaceDN w:val="0"/>
      <w:spacing w:after="0" w:line="240" w:lineRule="auto"/>
    </w:pPr>
    <w:rPr>
      <w:rFonts w:ascii="Times New Roman" w:eastAsia="Times New Roman" w:hAnsi="Times New Roman" w:cs="Times New Roman"/>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D43FB"/>
    <w:rPr>
      <w:color w:val="0000FF"/>
      <w:u w:val="single"/>
    </w:rPr>
  </w:style>
  <w:style w:type="table" w:styleId="Grigliatabella">
    <w:name w:val="Table Grid"/>
    <w:basedOn w:val="Tabellanormale"/>
    <w:uiPriority w:val="59"/>
    <w:rsid w:val="00D632C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B58EB"/>
    <w:pPr>
      <w:tabs>
        <w:tab w:val="center" w:pos="4819"/>
        <w:tab w:val="right" w:pos="9638"/>
      </w:tabs>
    </w:pPr>
  </w:style>
  <w:style w:type="character" w:customStyle="1" w:styleId="IntestazioneCarattere">
    <w:name w:val="Intestazione Carattere"/>
    <w:basedOn w:val="Carpredefinitoparagrafo"/>
    <w:link w:val="Intestazione"/>
    <w:uiPriority w:val="99"/>
    <w:rsid w:val="004B58EB"/>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4B58EB"/>
    <w:pPr>
      <w:tabs>
        <w:tab w:val="center" w:pos="4819"/>
        <w:tab w:val="right" w:pos="9638"/>
      </w:tabs>
    </w:pPr>
  </w:style>
  <w:style w:type="character" w:customStyle="1" w:styleId="PidipaginaCarattere">
    <w:name w:val="Piè di pagina Carattere"/>
    <w:basedOn w:val="Carpredefinitoparagrafo"/>
    <w:link w:val="Pidipagina"/>
    <w:uiPriority w:val="99"/>
    <w:rsid w:val="004B58EB"/>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143705">
      <w:bodyDiv w:val="1"/>
      <w:marLeft w:val="0"/>
      <w:marRight w:val="0"/>
      <w:marTop w:val="0"/>
      <w:marBottom w:val="0"/>
      <w:divBdr>
        <w:top w:val="none" w:sz="0" w:space="0" w:color="auto"/>
        <w:left w:val="none" w:sz="0" w:space="0" w:color="auto"/>
        <w:bottom w:val="none" w:sz="0" w:space="0" w:color="auto"/>
        <w:right w:val="none" w:sz="0" w:space="0" w:color="auto"/>
      </w:divBdr>
    </w:div>
    <w:div w:id="160826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mailto:SAIC836006@istruzione.i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IC836006@istruzione.i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D296F-89F3-4D4D-8E75-CD95BC7C0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939</Words>
  <Characters>5357</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39339</dc:creator>
  <cp:keywords/>
  <dc:description/>
  <cp:lastModifiedBy>39339</cp:lastModifiedBy>
  <cp:revision>45</cp:revision>
  <dcterms:created xsi:type="dcterms:W3CDTF">2024-06-20T08:11:00Z</dcterms:created>
  <dcterms:modified xsi:type="dcterms:W3CDTF">2024-07-01T06:32:00Z</dcterms:modified>
</cp:coreProperties>
</file>